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A916" w14:textId="1C0D09FF" w:rsidR="003C237C" w:rsidRDefault="003C237C">
      <w:pPr>
        <w:pBdr>
          <w:top w:val="nil"/>
          <w:left w:val="nil"/>
          <w:bottom w:val="nil"/>
          <w:right w:val="nil"/>
          <w:between w:val="nil"/>
        </w:pBdr>
        <w:spacing w:after="0" w:line="240" w:lineRule="auto"/>
      </w:pPr>
      <w:r>
        <w:rPr>
          <w:noProof/>
        </w:rPr>
        <mc:AlternateContent>
          <mc:Choice Requires="wps">
            <w:drawing>
              <wp:anchor distT="0" distB="0" distL="114300" distR="114300" simplePos="0" relativeHeight="251659264" behindDoc="0" locked="0" layoutInCell="1" allowOverlap="1" wp14:anchorId="3B45370E" wp14:editId="6829F821">
                <wp:simplePos x="0" y="0"/>
                <wp:positionH relativeFrom="column">
                  <wp:posOffset>-40005</wp:posOffset>
                </wp:positionH>
                <wp:positionV relativeFrom="paragraph">
                  <wp:posOffset>-541020</wp:posOffset>
                </wp:positionV>
                <wp:extent cx="6553200" cy="1095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553200" cy="1095375"/>
                        </a:xfrm>
                        <a:prstGeom prst="rect">
                          <a:avLst/>
                        </a:prstGeom>
                        <a:solidFill>
                          <a:schemeClr val="lt1"/>
                        </a:solidFill>
                        <a:ln w="6350">
                          <a:noFill/>
                        </a:ln>
                      </wps:spPr>
                      <wps:txbx>
                        <w:txbxContent>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6345"/>
                            </w:tblGrid>
                            <w:tr w:rsidR="003C237C" w14:paraId="74F8733B" w14:textId="77777777" w:rsidTr="009F15E5">
                              <w:trPr>
                                <w:jc w:val="center"/>
                              </w:trPr>
                              <w:tc>
                                <w:tcPr>
                                  <w:tcW w:w="3015" w:type="dxa"/>
                                  <w:shd w:val="clear" w:color="auto" w:fill="auto"/>
                                  <w:tcMar>
                                    <w:top w:w="100" w:type="dxa"/>
                                    <w:left w:w="100" w:type="dxa"/>
                                    <w:bottom w:w="100" w:type="dxa"/>
                                    <w:right w:w="100" w:type="dxa"/>
                                  </w:tcMar>
                                </w:tcPr>
                                <w:p w14:paraId="0EDA043C" w14:textId="77777777" w:rsidR="003C237C" w:rsidRDefault="003C237C" w:rsidP="003C237C">
                                  <w:pPr>
                                    <w:tabs>
                                      <w:tab w:val="center" w:pos="4680"/>
                                      <w:tab w:val="right" w:pos="9360"/>
                                    </w:tabs>
                                    <w:spacing w:after="0" w:line="240" w:lineRule="auto"/>
                                    <w:jc w:val="center"/>
                                    <w:rPr>
                                      <w:color w:val="000000"/>
                                    </w:rPr>
                                  </w:pPr>
                                  <w:r>
                                    <w:rPr>
                                      <w:noProof/>
                                    </w:rPr>
                                    <w:drawing>
                                      <wp:inline distT="0" distB="0" distL="0" distR="0" wp14:anchorId="7A699B90" wp14:editId="4BF7B63D">
                                        <wp:extent cx="952209" cy="937895"/>
                                        <wp:effectExtent l="0" t="0" r="635" b="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Logo, company name&#10;&#10;Description automatically generated"/>
                                                <pic:cNvPicPr preferRelativeResize="0"/>
                                              </pic:nvPicPr>
                                              <pic:blipFill>
                                                <a:blip r:embed="rId8"/>
                                                <a:srcRect/>
                                                <a:stretch>
                                                  <a:fillRect/>
                                                </a:stretch>
                                              </pic:blipFill>
                                              <pic:spPr>
                                                <a:xfrm>
                                                  <a:off x="0" y="0"/>
                                                  <a:ext cx="953231" cy="938902"/>
                                                </a:xfrm>
                                                <a:prstGeom prst="rect">
                                                  <a:avLst/>
                                                </a:prstGeom>
                                                <a:ln/>
                                              </pic:spPr>
                                            </pic:pic>
                                          </a:graphicData>
                                        </a:graphic>
                                      </wp:inline>
                                    </w:drawing>
                                  </w:r>
                                </w:p>
                              </w:tc>
                              <w:tc>
                                <w:tcPr>
                                  <w:tcW w:w="6345" w:type="dxa"/>
                                  <w:shd w:val="clear" w:color="auto" w:fill="auto"/>
                                  <w:tcMar>
                                    <w:top w:w="100" w:type="dxa"/>
                                    <w:left w:w="100" w:type="dxa"/>
                                    <w:bottom w:w="100" w:type="dxa"/>
                                    <w:right w:w="100" w:type="dxa"/>
                                  </w:tcMar>
                                </w:tcPr>
                                <w:p w14:paraId="5CE1383A" w14:textId="77777777" w:rsidR="003C237C" w:rsidRDefault="003C237C" w:rsidP="003C237C">
                                  <w:pPr>
                                    <w:spacing w:after="0" w:line="240" w:lineRule="auto"/>
                                    <w:jc w:val="center"/>
                                    <w:rPr>
                                      <w:b/>
                                    </w:rPr>
                                  </w:pPr>
                                </w:p>
                                <w:p w14:paraId="4736FF62" w14:textId="77777777" w:rsidR="003C237C" w:rsidRDefault="003C237C" w:rsidP="003C237C">
                                  <w:pPr>
                                    <w:spacing w:after="0" w:line="240" w:lineRule="auto"/>
                                    <w:jc w:val="center"/>
                                    <w:rPr>
                                      <w:b/>
                                    </w:rPr>
                                  </w:pPr>
                                  <w:r>
                                    <w:rPr>
                                      <w:b/>
                                    </w:rPr>
                                    <w:t>Tri-County Homeless Interagency Council</w:t>
                                  </w:r>
                                </w:p>
                                <w:p w14:paraId="23F0252D" w14:textId="77777777" w:rsidR="003C237C" w:rsidRDefault="003C237C" w:rsidP="003C237C">
                                  <w:pPr>
                                    <w:spacing w:after="0" w:line="240" w:lineRule="auto"/>
                                    <w:jc w:val="center"/>
                                    <w:rPr>
                                      <w:b/>
                                    </w:rPr>
                                  </w:pPr>
                                  <w:r>
                                    <w:rPr>
                                      <w:b/>
                                    </w:rPr>
                                    <w:t>NC-506 Continuum of Care</w:t>
                                  </w:r>
                                </w:p>
                                <w:p w14:paraId="4ECEE944" w14:textId="77777777" w:rsidR="003C237C" w:rsidRDefault="003C237C" w:rsidP="003C237C">
                                  <w:pPr>
                                    <w:spacing w:after="0" w:line="240" w:lineRule="auto"/>
                                    <w:jc w:val="center"/>
                                    <w:rPr>
                                      <w:b/>
                                    </w:rPr>
                                  </w:pPr>
                                </w:p>
                                <w:p w14:paraId="72D7BF33" w14:textId="77777777" w:rsidR="003C237C" w:rsidRDefault="003C237C" w:rsidP="003C237C">
                                  <w:pPr>
                                    <w:spacing w:after="0" w:line="240" w:lineRule="auto"/>
                                    <w:jc w:val="center"/>
                                    <w:rPr>
                                      <w:b/>
                                    </w:rPr>
                                  </w:pPr>
                                  <w:r>
                                    <w:rPr>
                                      <w:b/>
                                    </w:rPr>
                                    <w:t>CoC Rating, Ranking, and Reallocation Policy</w:t>
                                  </w:r>
                                </w:p>
                                <w:p w14:paraId="59CEFE23" w14:textId="77777777" w:rsidR="003C237C" w:rsidRDefault="003C237C" w:rsidP="003C237C">
                                  <w:pPr>
                                    <w:widowControl w:val="0"/>
                                    <w:pBdr>
                                      <w:top w:val="nil"/>
                                      <w:left w:val="nil"/>
                                      <w:bottom w:val="nil"/>
                                      <w:right w:val="nil"/>
                                      <w:between w:val="nil"/>
                                    </w:pBdr>
                                    <w:spacing w:after="0" w:line="240" w:lineRule="auto"/>
                                  </w:pPr>
                                </w:p>
                              </w:tc>
                            </w:tr>
                          </w:tbl>
                          <w:p w14:paraId="427D9D7D" w14:textId="77777777" w:rsidR="003C237C" w:rsidRDefault="003C2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5370E" id="_x0000_t202" coordsize="21600,21600" o:spt="202" path="m,l,21600r21600,l21600,xe">
                <v:stroke joinstyle="miter"/>
                <v:path gradientshapeok="t" o:connecttype="rect"/>
              </v:shapetype>
              <v:shape id="Text Box 1" o:spid="_x0000_s1026" type="#_x0000_t202" style="position:absolute;margin-left:-3.15pt;margin-top:-42.6pt;width:516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" fillcolor="white [3201]" stroked="f" strokeweight=".5pt">
                <v:textbox>
                  <w:txbxContent>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6345"/>
                      </w:tblGrid>
                      <w:tr w:rsidR="003C237C" w14:paraId="74F8733B" w14:textId="77777777" w:rsidTr="009F15E5">
                        <w:trPr>
                          <w:jc w:val="center"/>
                        </w:trPr>
                        <w:tc>
                          <w:tcPr>
                            <w:tcW w:w="3015" w:type="dxa"/>
                            <w:shd w:val="clear" w:color="auto" w:fill="auto"/>
                            <w:tcMar>
                              <w:top w:w="100" w:type="dxa"/>
                              <w:left w:w="100" w:type="dxa"/>
                              <w:bottom w:w="100" w:type="dxa"/>
                              <w:right w:w="100" w:type="dxa"/>
                            </w:tcMar>
                          </w:tcPr>
                          <w:p w14:paraId="0EDA043C" w14:textId="77777777" w:rsidR="003C237C" w:rsidRDefault="003C237C" w:rsidP="003C237C">
                            <w:pPr>
                              <w:tabs>
                                <w:tab w:val="center" w:pos="4680"/>
                                <w:tab w:val="right" w:pos="9360"/>
                              </w:tabs>
                              <w:spacing w:after="0" w:line="240" w:lineRule="auto"/>
                              <w:jc w:val="center"/>
                              <w:rPr>
                                <w:color w:val="000000"/>
                              </w:rPr>
                            </w:pPr>
                            <w:r>
                              <w:rPr>
                                <w:noProof/>
                              </w:rPr>
                              <w:drawing>
                                <wp:inline distT="0" distB="0" distL="0" distR="0" wp14:anchorId="7A699B90" wp14:editId="4BF7B63D">
                                  <wp:extent cx="952209" cy="937895"/>
                                  <wp:effectExtent l="0" t="0" r="635" b="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Logo, company name&#10;&#10;Description automatically generated"/>
                                          <pic:cNvPicPr preferRelativeResize="0"/>
                                        </pic:nvPicPr>
                                        <pic:blipFill>
                                          <a:blip r:embed="rId8"/>
                                          <a:srcRect/>
                                          <a:stretch>
                                            <a:fillRect/>
                                          </a:stretch>
                                        </pic:blipFill>
                                        <pic:spPr>
                                          <a:xfrm>
                                            <a:off x="0" y="0"/>
                                            <a:ext cx="953231" cy="938902"/>
                                          </a:xfrm>
                                          <a:prstGeom prst="rect">
                                            <a:avLst/>
                                          </a:prstGeom>
                                          <a:ln/>
                                        </pic:spPr>
                                      </pic:pic>
                                    </a:graphicData>
                                  </a:graphic>
                                </wp:inline>
                              </w:drawing>
                            </w:r>
                          </w:p>
                        </w:tc>
                        <w:tc>
                          <w:tcPr>
                            <w:tcW w:w="6345" w:type="dxa"/>
                            <w:shd w:val="clear" w:color="auto" w:fill="auto"/>
                            <w:tcMar>
                              <w:top w:w="100" w:type="dxa"/>
                              <w:left w:w="100" w:type="dxa"/>
                              <w:bottom w:w="100" w:type="dxa"/>
                              <w:right w:w="100" w:type="dxa"/>
                            </w:tcMar>
                          </w:tcPr>
                          <w:p w14:paraId="5CE1383A" w14:textId="77777777" w:rsidR="003C237C" w:rsidRDefault="003C237C" w:rsidP="003C237C">
                            <w:pPr>
                              <w:spacing w:after="0" w:line="240" w:lineRule="auto"/>
                              <w:jc w:val="center"/>
                              <w:rPr>
                                <w:b/>
                              </w:rPr>
                            </w:pPr>
                          </w:p>
                          <w:p w14:paraId="4736FF62" w14:textId="77777777" w:rsidR="003C237C" w:rsidRDefault="003C237C" w:rsidP="003C237C">
                            <w:pPr>
                              <w:spacing w:after="0" w:line="240" w:lineRule="auto"/>
                              <w:jc w:val="center"/>
                              <w:rPr>
                                <w:b/>
                              </w:rPr>
                            </w:pPr>
                            <w:r>
                              <w:rPr>
                                <w:b/>
                              </w:rPr>
                              <w:t>Tri-County Homeless Interagency Council</w:t>
                            </w:r>
                          </w:p>
                          <w:p w14:paraId="23F0252D" w14:textId="77777777" w:rsidR="003C237C" w:rsidRDefault="003C237C" w:rsidP="003C237C">
                            <w:pPr>
                              <w:spacing w:after="0" w:line="240" w:lineRule="auto"/>
                              <w:jc w:val="center"/>
                              <w:rPr>
                                <w:b/>
                              </w:rPr>
                            </w:pPr>
                            <w:r>
                              <w:rPr>
                                <w:b/>
                              </w:rPr>
                              <w:t>NC-506 Continuum of Care</w:t>
                            </w:r>
                          </w:p>
                          <w:p w14:paraId="4ECEE944" w14:textId="77777777" w:rsidR="003C237C" w:rsidRDefault="003C237C" w:rsidP="003C237C">
                            <w:pPr>
                              <w:spacing w:after="0" w:line="240" w:lineRule="auto"/>
                              <w:jc w:val="center"/>
                              <w:rPr>
                                <w:b/>
                              </w:rPr>
                            </w:pPr>
                          </w:p>
                          <w:p w14:paraId="72D7BF33" w14:textId="77777777" w:rsidR="003C237C" w:rsidRDefault="003C237C" w:rsidP="003C237C">
                            <w:pPr>
                              <w:spacing w:after="0" w:line="240" w:lineRule="auto"/>
                              <w:jc w:val="center"/>
                              <w:rPr>
                                <w:b/>
                              </w:rPr>
                            </w:pPr>
                            <w:r>
                              <w:rPr>
                                <w:b/>
                              </w:rPr>
                              <w:t>CoC Rating, Ranking, and Reallocation Policy</w:t>
                            </w:r>
                          </w:p>
                          <w:p w14:paraId="59CEFE23" w14:textId="77777777" w:rsidR="003C237C" w:rsidRDefault="003C237C" w:rsidP="003C237C">
                            <w:pPr>
                              <w:widowControl w:val="0"/>
                              <w:pBdr>
                                <w:top w:val="nil"/>
                                <w:left w:val="nil"/>
                                <w:bottom w:val="nil"/>
                                <w:right w:val="nil"/>
                                <w:between w:val="nil"/>
                              </w:pBdr>
                              <w:spacing w:after="0" w:line="240" w:lineRule="auto"/>
                            </w:pPr>
                          </w:p>
                        </w:tc>
                      </w:tr>
                    </w:tbl>
                    <w:p w14:paraId="427D9D7D" w14:textId="77777777" w:rsidR="003C237C" w:rsidRDefault="003C237C"/>
                  </w:txbxContent>
                </v:textbox>
              </v:shape>
            </w:pict>
          </mc:Fallback>
        </mc:AlternateContent>
      </w:r>
    </w:p>
    <w:p w14:paraId="7CECCA30" w14:textId="77777777" w:rsidR="003C237C" w:rsidRDefault="003C237C">
      <w:pPr>
        <w:pBdr>
          <w:top w:val="nil"/>
          <w:left w:val="nil"/>
          <w:bottom w:val="nil"/>
          <w:right w:val="nil"/>
          <w:between w:val="nil"/>
        </w:pBdr>
        <w:spacing w:after="0" w:line="240" w:lineRule="auto"/>
      </w:pPr>
    </w:p>
    <w:p w14:paraId="0A5B53F5" w14:textId="77777777" w:rsidR="003C237C" w:rsidRDefault="003C237C">
      <w:pPr>
        <w:pBdr>
          <w:top w:val="nil"/>
          <w:left w:val="nil"/>
          <w:bottom w:val="nil"/>
          <w:right w:val="nil"/>
          <w:between w:val="nil"/>
        </w:pBdr>
        <w:spacing w:after="0" w:line="240" w:lineRule="auto"/>
      </w:pPr>
    </w:p>
    <w:p w14:paraId="4C990F8E" w14:textId="77777777" w:rsidR="003C237C" w:rsidRDefault="003C237C">
      <w:pPr>
        <w:pBdr>
          <w:top w:val="nil"/>
          <w:left w:val="nil"/>
          <w:bottom w:val="nil"/>
          <w:right w:val="nil"/>
          <w:between w:val="nil"/>
        </w:pBdr>
        <w:spacing w:after="0" w:line="240" w:lineRule="auto"/>
      </w:pPr>
    </w:p>
    <w:p w14:paraId="62057CDC" w14:textId="6CB09034" w:rsidR="003E5863" w:rsidRPr="001B0898" w:rsidRDefault="001B0898">
      <w:pPr>
        <w:pBdr>
          <w:top w:val="nil"/>
          <w:left w:val="nil"/>
          <w:bottom w:val="nil"/>
          <w:right w:val="nil"/>
          <w:between w:val="nil"/>
        </w:pBdr>
        <w:spacing w:after="0" w:line="240" w:lineRule="auto"/>
        <w:rPr>
          <w:sz w:val="24"/>
          <w:szCs w:val="24"/>
        </w:rPr>
      </w:pPr>
      <w:r w:rsidRPr="001B0898">
        <w:rPr>
          <w:sz w:val="24"/>
          <w:szCs w:val="24"/>
        </w:rPr>
        <w:t>It is the goal of the Tri-County Homeless Interagency Council (Tri-HIC) to implement a Rating, Ranking and Reallocation P</w:t>
      </w:r>
      <w:r w:rsidRPr="001B0898">
        <w:rPr>
          <w:sz w:val="24"/>
          <w:szCs w:val="24"/>
        </w:rPr>
        <w:t>olicy</w:t>
      </w:r>
      <w:r w:rsidRPr="001B0898">
        <w:rPr>
          <w:sz w:val="24"/>
          <w:szCs w:val="24"/>
        </w:rPr>
        <w:t xml:space="preserve"> that responds to </w:t>
      </w:r>
      <w:r w:rsidRPr="001B0898">
        <w:rPr>
          <w:sz w:val="24"/>
          <w:szCs w:val="24"/>
        </w:rPr>
        <w:t>the</w:t>
      </w:r>
      <w:r w:rsidRPr="001B0898">
        <w:rPr>
          <w:sz w:val="24"/>
          <w:szCs w:val="24"/>
        </w:rPr>
        <w:t xml:space="preserve"> needs of </w:t>
      </w:r>
      <w:r w:rsidRPr="001B0898">
        <w:rPr>
          <w:sz w:val="24"/>
          <w:szCs w:val="24"/>
        </w:rPr>
        <w:t>those in the community experiencing homelessness.  The policy</w:t>
      </w:r>
      <w:r w:rsidRPr="001B0898">
        <w:rPr>
          <w:sz w:val="24"/>
          <w:szCs w:val="24"/>
        </w:rPr>
        <w:t xml:space="preserve"> relies on objective performance measures to evaluate success</w:t>
      </w:r>
      <w:r w:rsidRPr="001B0898">
        <w:rPr>
          <w:sz w:val="24"/>
          <w:szCs w:val="24"/>
        </w:rPr>
        <w:t xml:space="preserve"> and supports organizations and projects with experience in effective service delivery and stewardship of funds</w:t>
      </w:r>
      <w:r w:rsidRPr="001B0898">
        <w:rPr>
          <w:sz w:val="24"/>
          <w:szCs w:val="24"/>
        </w:rPr>
        <w:t>, regardless of the fu</w:t>
      </w:r>
      <w:r w:rsidRPr="001B0898">
        <w:rPr>
          <w:sz w:val="24"/>
          <w:szCs w:val="24"/>
        </w:rPr>
        <w:t>nding source (HUD, ESG, etc.)</w:t>
      </w:r>
      <w:r w:rsidRPr="001B0898">
        <w:rPr>
          <w:sz w:val="24"/>
          <w:szCs w:val="24"/>
        </w:rPr>
        <w:t xml:space="preserve">. The Tri-HIC </w:t>
      </w:r>
      <w:r w:rsidRPr="001B0898">
        <w:rPr>
          <w:sz w:val="24"/>
          <w:szCs w:val="24"/>
        </w:rPr>
        <w:t>values the efforts</w:t>
      </w:r>
      <w:r w:rsidRPr="001B0898">
        <w:rPr>
          <w:sz w:val="24"/>
          <w:szCs w:val="24"/>
        </w:rPr>
        <w:t xml:space="preserve"> of organizations to change, grow, and incorporate new models of best practice as the needs of the homeless service system change. The Tri-H</w:t>
      </w:r>
      <w:r w:rsidRPr="001B0898">
        <w:rPr>
          <w:sz w:val="24"/>
          <w:szCs w:val="24"/>
        </w:rPr>
        <w:t>IC</w:t>
      </w:r>
      <w:r w:rsidRPr="001B0898">
        <w:rPr>
          <w:sz w:val="24"/>
          <w:szCs w:val="24"/>
        </w:rPr>
        <w:t xml:space="preserve"> requires Housing First programs and encourages creat</w:t>
      </w:r>
      <w:r w:rsidRPr="001B0898">
        <w:rPr>
          <w:sz w:val="24"/>
          <w:szCs w:val="24"/>
        </w:rPr>
        <w:t>ive</w:t>
      </w:r>
      <w:r w:rsidRPr="001B0898">
        <w:rPr>
          <w:sz w:val="24"/>
          <w:szCs w:val="24"/>
        </w:rPr>
        <w:t xml:space="preserve"> and innovative</w:t>
      </w:r>
      <w:r w:rsidRPr="001B0898">
        <w:rPr>
          <w:sz w:val="24"/>
          <w:szCs w:val="24"/>
        </w:rPr>
        <w:t xml:space="preserve"> project proposals as well as project applications from new </w:t>
      </w:r>
      <w:r w:rsidRPr="001B0898">
        <w:rPr>
          <w:sz w:val="24"/>
          <w:szCs w:val="24"/>
        </w:rPr>
        <w:t>applicants</w:t>
      </w:r>
      <w:r w:rsidRPr="001B0898">
        <w:rPr>
          <w:sz w:val="24"/>
          <w:szCs w:val="24"/>
        </w:rPr>
        <w:t xml:space="preserve"> and organizations. The Tri-HIC is adopting the following policies to create a Continuum of Care (CoC) rating, ranking and reallocation process that is reflective of th</w:t>
      </w:r>
      <w:r w:rsidRPr="001B0898">
        <w:rPr>
          <w:sz w:val="24"/>
          <w:szCs w:val="24"/>
        </w:rPr>
        <w:t>ose goals.</w:t>
      </w:r>
    </w:p>
    <w:p w14:paraId="079401E1" w14:textId="77777777" w:rsidR="003E5863" w:rsidRPr="001B0898" w:rsidRDefault="003E5863">
      <w:pPr>
        <w:pBdr>
          <w:top w:val="nil"/>
          <w:left w:val="nil"/>
          <w:bottom w:val="nil"/>
          <w:right w:val="nil"/>
          <w:between w:val="nil"/>
        </w:pBdr>
        <w:spacing w:after="0" w:line="240" w:lineRule="auto"/>
        <w:rPr>
          <w:color w:val="000000"/>
          <w:sz w:val="24"/>
          <w:szCs w:val="24"/>
        </w:rPr>
      </w:pPr>
    </w:p>
    <w:p w14:paraId="5418D52D" w14:textId="76BCDE13" w:rsidR="003E5863" w:rsidRPr="001B0898" w:rsidRDefault="001B0898">
      <w:pPr>
        <w:pBdr>
          <w:top w:val="nil"/>
          <w:left w:val="nil"/>
          <w:bottom w:val="nil"/>
          <w:right w:val="nil"/>
          <w:between w:val="nil"/>
        </w:pBdr>
        <w:spacing w:after="0" w:line="240" w:lineRule="auto"/>
        <w:rPr>
          <w:b/>
          <w:sz w:val="24"/>
          <w:szCs w:val="24"/>
          <w:u w:val="single"/>
        </w:rPr>
      </w:pPr>
      <w:r w:rsidRPr="001B0898">
        <w:rPr>
          <w:b/>
          <w:sz w:val="24"/>
          <w:szCs w:val="24"/>
          <w:u w:val="single"/>
        </w:rPr>
        <w:t xml:space="preserve">CoC </w:t>
      </w:r>
      <w:r w:rsidRPr="001B0898">
        <w:rPr>
          <w:b/>
          <w:sz w:val="24"/>
          <w:szCs w:val="24"/>
          <w:u w:val="single"/>
        </w:rPr>
        <w:t xml:space="preserve">Ranking </w:t>
      </w:r>
      <w:r w:rsidRPr="001B0898">
        <w:rPr>
          <w:b/>
          <w:sz w:val="24"/>
          <w:szCs w:val="24"/>
          <w:u w:val="single"/>
        </w:rPr>
        <w:t>Committee Responsibilities</w:t>
      </w:r>
    </w:p>
    <w:p w14:paraId="57B70147" w14:textId="364F8F74" w:rsidR="003E5863" w:rsidRPr="001B0898" w:rsidRDefault="001B0898">
      <w:pPr>
        <w:pBdr>
          <w:top w:val="nil"/>
          <w:left w:val="nil"/>
          <w:bottom w:val="nil"/>
          <w:right w:val="nil"/>
          <w:between w:val="nil"/>
        </w:pBdr>
        <w:spacing w:after="0" w:line="240" w:lineRule="auto"/>
        <w:rPr>
          <w:sz w:val="24"/>
          <w:szCs w:val="24"/>
        </w:rPr>
      </w:pPr>
      <w:r w:rsidRPr="001B0898">
        <w:rPr>
          <w:sz w:val="24"/>
          <w:szCs w:val="24"/>
        </w:rPr>
        <w:t xml:space="preserve">The CoC </w:t>
      </w:r>
      <w:r w:rsidRPr="001B0898">
        <w:rPr>
          <w:sz w:val="24"/>
          <w:szCs w:val="24"/>
        </w:rPr>
        <w:t xml:space="preserve">Ranking </w:t>
      </w:r>
      <w:r w:rsidRPr="001B0898">
        <w:rPr>
          <w:sz w:val="24"/>
          <w:szCs w:val="24"/>
        </w:rPr>
        <w:t xml:space="preserve">Committee is responsible for coordinating </w:t>
      </w:r>
      <w:r w:rsidRPr="001B0898">
        <w:rPr>
          <w:sz w:val="24"/>
          <w:szCs w:val="24"/>
        </w:rPr>
        <w:t xml:space="preserve">the rating, ranking and reallocation process </w:t>
      </w:r>
      <w:r w:rsidRPr="001B0898">
        <w:rPr>
          <w:sz w:val="24"/>
          <w:szCs w:val="24"/>
        </w:rPr>
        <w:t xml:space="preserve">with the Collaborative Applicant on </w:t>
      </w:r>
      <w:r w:rsidRPr="001B0898">
        <w:rPr>
          <w:sz w:val="24"/>
          <w:szCs w:val="24"/>
        </w:rPr>
        <w:t>all competition applications</w:t>
      </w:r>
      <w:r w:rsidRPr="001B0898">
        <w:rPr>
          <w:sz w:val="24"/>
          <w:szCs w:val="24"/>
        </w:rPr>
        <w:t xml:space="preserve">. The Collaborative Applicant in conjunction with the CoC </w:t>
      </w:r>
      <w:r w:rsidRPr="001B0898">
        <w:rPr>
          <w:sz w:val="24"/>
          <w:szCs w:val="24"/>
        </w:rPr>
        <w:t>Ranking</w:t>
      </w:r>
      <w:r w:rsidRPr="001B0898">
        <w:rPr>
          <w:sz w:val="24"/>
          <w:szCs w:val="24"/>
        </w:rPr>
        <w:t xml:space="preserve"> Committee will create a </w:t>
      </w:r>
      <w:r w:rsidRPr="001B0898">
        <w:rPr>
          <w:sz w:val="24"/>
          <w:szCs w:val="24"/>
        </w:rPr>
        <w:t>schedule which will include timelines for establishing meetings, reviewing the collaborative application and disseminating the a</w:t>
      </w:r>
      <w:r w:rsidRPr="001B0898">
        <w:rPr>
          <w:sz w:val="24"/>
          <w:szCs w:val="24"/>
        </w:rPr>
        <w:t xml:space="preserve">ppeal process. </w:t>
      </w:r>
    </w:p>
    <w:p w14:paraId="22B8EA25" w14:textId="77777777" w:rsidR="003E5863" w:rsidRPr="001B0898" w:rsidRDefault="003E5863">
      <w:pPr>
        <w:pBdr>
          <w:top w:val="nil"/>
          <w:left w:val="nil"/>
          <w:bottom w:val="nil"/>
          <w:right w:val="nil"/>
          <w:between w:val="nil"/>
        </w:pBdr>
        <w:spacing w:after="0" w:line="240" w:lineRule="auto"/>
        <w:rPr>
          <w:sz w:val="24"/>
          <w:szCs w:val="24"/>
        </w:rPr>
      </w:pPr>
    </w:p>
    <w:p w14:paraId="2AFB4FC1" w14:textId="77777777" w:rsidR="003E5863" w:rsidRPr="001B0898" w:rsidRDefault="001B0898">
      <w:pPr>
        <w:pBdr>
          <w:top w:val="nil"/>
          <w:left w:val="nil"/>
          <w:bottom w:val="nil"/>
          <w:right w:val="nil"/>
          <w:between w:val="nil"/>
        </w:pBdr>
        <w:spacing w:after="0" w:line="240" w:lineRule="auto"/>
        <w:rPr>
          <w:b/>
          <w:sz w:val="24"/>
          <w:szCs w:val="24"/>
          <w:u w:val="single"/>
        </w:rPr>
      </w:pPr>
      <w:r w:rsidRPr="001B0898">
        <w:rPr>
          <w:b/>
          <w:sz w:val="24"/>
          <w:szCs w:val="24"/>
          <w:u w:val="single"/>
        </w:rPr>
        <w:t>Community Priorities</w:t>
      </w:r>
    </w:p>
    <w:p w14:paraId="062F6F71" w14:textId="77777777" w:rsidR="003E5863" w:rsidRPr="001B0898" w:rsidRDefault="001B0898">
      <w:pPr>
        <w:pBdr>
          <w:top w:val="nil"/>
          <w:left w:val="nil"/>
          <w:bottom w:val="nil"/>
          <w:right w:val="nil"/>
          <w:between w:val="nil"/>
        </w:pBdr>
        <w:spacing w:after="0" w:line="240" w:lineRule="auto"/>
        <w:rPr>
          <w:sz w:val="24"/>
          <w:szCs w:val="24"/>
        </w:rPr>
      </w:pPr>
      <w:r w:rsidRPr="001B0898">
        <w:rPr>
          <w:sz w:val="24"/>
          <w:szCs w:val="24"/>
        </w:rPr>
        <w:t xml:space="preserve">Prior to each competition, the CoC </w:t>
      </w:r>
      <w:r w:rsidRPr="001B0898">
        <w:rPr>
          <w:sz w:val="24"/>
          <w:szCs w:val="24"/>
        </w:rPr>
        <w:t xml:space="preserve">Board </w:t>
      </w:r>
      <w:r w:rsidRPr="001B0898">
        <w:rPr>
          <w:sz w:val="24"/>
          <w:szCs w:val="24"/>
        </w:rPr>
        <w:t xml:space="preserve">will identify priority populations and/or project types </w:t>
      </w:r>
      <w:r w:rsidRPr="001B0898">
        <w:rPr>
          <w:sz w:val="24"/>
          <w:szCs w:val="24"/>
        </w:rPr>
        <w:t>utilizing</w:t>
      </w:r>
      <w:r w:rsidRPr="001B0898">
        <w:rPr>
          <w:sz w:val="24"/>
          <w:szCs w:val="24"/>
        </w:rPr>
        <w:t xml:space="preserve"> the annual Comprehensive Data Analysis report or other comparable data </w:t>
      </w:r>
      <w:r w:rsidRPr="001B0898">
        <w:rPr>
          <w:sz w:val="24"/>
          <w:szCs w:val="24"/>
        </w:rPr>
        <w:t xml:space="preserve">i.e., </w:t>
      </w:r>
      <w:r w:rsidRPr="001B0898">
        <w:rPr>
          <w:sz w:val="24"/>
          <w:szCs w:val="24"/>
        </w:rPr>
        <w:t>the Community Health Assessments f</w:t>
      </w:r>
      <w:r w:rsidRPr="001B0898">
        <w:rPr>
          <w:sz w:val="24"/>
          <w:szCs w:val="24"/>
        </w:rPr>
        <w:t>or the Counties in our service area, the Point- In-Time data etc.</w:t>
      </w:r>
      <w:r w:rsidRPr="001B0898">
        <w:rPr>
          <w:sz w:val="24"/>
          <w:szCs w:val="24"/>
        </w:rPr>
        <w:t xml:space="preserve"> </w:t>
      </w:r>
    </w:p>
    <w:p w14:paraId="64D2EABC" w14:textId="77777777" w:rsidR="003E5863" w:rsidRPr="001B0898" w:rsidRDefault="003E5863">
      <w:pPr>
        <w:pBdr>
          <w:top w:val="nil"/>
          <w:left w:val="nil"/>
          <w:bottom w:val="nil"/>
          <w:right w:val="nil"/>
          <w:between w:val="nil"/>
        </w:pBdr>
        <w:spacing w:after="0" w:line="240" w:lineRule="auto"/>
        <w:rPr>
          <w:sz w:val="24"/>
          <w:szCs w:val="24"/>
        </w:rPr>
      </w:pPr>
    </w:p>
    <w:p w14:paraId="0A842057" w14:textId="77777777" w:rsidR="003E5863" w:rsidRPr="001B0898" w:rsidRDefault="001B0898">
      <w:pPr>
        <w:pBdr>
          <w:top w:val="nil"/>
          <w:left w:val="nil"/>
          <w:bottom w:val="nil"/>
          <w:right w:val="nil"/>
          <w:between w:val="nil"/>
        </w:pBdr>
        <w:spacing w:after="0" w:line="240" w:lineRule="auto"/>
        <w:rPr>
          <w:b/>
          <w:sz w:val="24"/>
          <w:szCs w:val="24"/>
          <w:u w:val="single"/>
        </w:rPr>
      </w:pPr>
      <w:r w:rsidRPr="001B0898">
        <w:rPr>
          <w:b/>
          <w:sz w:val="24"/>
          <w:szCs w:val="24"/>
          <w:u w:val="single"/>
        </w:rPr>
        <w:t>Orientation Policy</w:t>
      </w:r>
    </w:p>
    <w:p w14:paraId="09D96E9E" w14:textId="77777777" w:rsidR="003E5863" w:rsidRPr="001B0898" w:rsidRDefault="001B0898">
      <w:pPr>
        <w:pBdr>
          <w:top w:val="nil"/>
          <w:left w:val="nil"/>
          <w:bottom w:val="nil"/>
          <w:right w:val="nil"/>
          <w:between w:val="nil"/>
        </w:pBdr>
        <w:spacing w:after="0" w:line="240" w:lineRule="auto"/>
        <w:rPr>
          <w:sz w:val="24"/>
          <w:szCs w:val="24"/>
        </w:rPr>
      </w:pPr>
      <w:r w:rsidRPr="001B0898">
        <w:rPr>
          <w:sz w:val="24"/>
          <w:szCs w:val="24"/>
        </w:rPr>
        <w:t xml:space="preserve">Participation in CoC applicant orientation is required for all applicants prior to application submission. Orientation will provide </w:t>
      </w:r>
      <w:r w:rsidRPr="001B0898">
        <w:rPr>
          <w:sz w:val="24"/>
          <w:szCs w:val="24"/>
        </w:rPr>
        <w:t>information</w:t>
      </w:r>
      <w:r w:rsidRPr="001B0898">
        <w:rPr>
          <w:sz w:val="24"/>
          <w:szCs w:val="24"/>
        </w:rPr>
        <w:t xml:space="preserve"> regarding the </w:t>
      </w:r>
      <w:r w:rsidRPr="001B0898">
        <w:rPr>
          <w:sz w:val="24"/>
          <w:szCs w:val="24"/>
        </w:rPr>
        <w:t>application</w:t>
      </w:r>
      <w:r w:rsidRPr="001B0898">
        <w:rPr>
          <w:sz w:val="24"/>
          <w:szCs w:val="24"/>
        </w:rPr>
        <w:t xml:space="preserve"> requirements and process and will give applicants an</w:t>
      </w:r>
      <w:r w:rsidRPr="001B0898">
        <w:rPr>
          <w:sz w:val="24"/>
          <w:szCs w:val="24"/>
        </w:rPr>
        <w:t xml:space="preserve"> opportunity to ask questions.  </w:t>
      </w:r>
      <w:r w:rsidRPr="001B0898">
        <w:rPr>
          <w:sz w:val="24"/>
          <w:szCs w:val="24"/>
        </w:rPr>
        <w:t>Or</w:t>
      </w:r>
      <w:r w:rsidRPr="001B0898">
        <w:rPr>
          <w:sz w:val="24"/>
          <w:szCs w:val="24"/>
        </w:rPr>
        <w:t>ientation dates and times will be announced at least two weeks prior. The CoC staff must be able to verify participation.</w:t>
      </w:r>
    </w:p>
    <w:p w14:paraId="75756209" w14:textId="77777777" w:rsidR="003E5863" w:rsidRPr="001B0898" w:rsidRDefault="003E5863">
      <w:pPr>
        <w:pBdr>
          <w:top w:val="nil"/>
          <w:left w:val="nil"/>
          <w:bottom w:val="nil"/>
          <w:right w:val="nil"/>
          <w:between w:val="nil"/>
        </w:pBdr>
        <w:spacing w:after="0" w:line="240" w:lineRule="auto"/>
        <w:rPr>
          <w:color w:val="000000"/>
          <w:sz w:val="24"/>
          <w:szCs w:val="24"/>
        </w:rPr>
      </w:pPr>
    </w:p>
    <w:p w14:paraId="333EEDC7" w14:textId="77777777" w:rsidR="003E5863" w:rsidRPr="001B0898" w:rsidRDefault="001B0898">
      <w:pPr>
        <w:pBdr>
          <w:top w:val="nil"/>
          <w:left w:val="nil"/>
          <w:bottom w:val="nil"/>
          <w:right w:val="nil"/>
          <w:between w:val="nil"/>
        </w:pBdr>
        <w:spacing w:after="0" w:line="240" w:lineRule="auto"/>
        <w:rPr>
          <w:b/>
          <w:sz w:val="24"/>
          <w:szCs w:val="24"/>
          <w:u w:val="single"/>
        </w:rPr>
      </w:pPr>
      <w:r w:rsidRPr="001B0898">
        <w:rPr>
          <w:b/>
          <w:sz w:val="24"/>
          <w:szCs w:val="24"/>
          <w:u w:val="single"/>
        </w:rPr>
        <w:t>Application Policy and Process</w:t>
      </w:r>
    </w:p>
    <w:p w14:paraId="0236D92A" w14:textId="77777777" w:rsidR="000C0E66" w:rsidRPr="001B0898" w:rsidRDefault="000C0E66">
      <w:pPr>
        <w:pBdr>
          <w:top w:val="nil"/>
          <w:left w:val="nil"/>
          <w:bottom w:val="nil"/>
          <w:right w:val="nil"/>
          <w:between w:val="nil"/>
        </w:pBdr>
        <w:spacing w:after="0" w:line="240" w:lineRule="auto"/>
        <w:rPr>
          <w:b/>
          <w:sz w:val="14"/>
          <w:szCs w:val="14"/>
        </w:rPr>
      </w:pPr>
    </w:p>
    <w:p w14:paraId="1034C489" w14:textId="253F2338" w:rsidR="003E5863" w:rsidRPr="001B0898" w:rsidRDefault="001B0898">
      <w:pPr>
        <w:pBdr>
          <w:top w:val="nil"/>
          <w:left w:val="nil"/>
          <w:bottom w:val="nil"/>
          <w:right w:val="nil"/>
          <w:between w:val="nil"/>
        </w:pBdr>
        <w:spacing w:after="0" w:line="240" w:lineRule="auto"/>
        <w:rPr>
          <w:sz w:val="24"/>
          <w:szCs w:val="24"/>
        </w:rPr>
      </w:pPr>
      <w:r w:rsidRPr="001B0898">
        <w:rPr>
          <w:b/>
          <w:sz w:val="24"/>
          <w:szCs w:val="24"/>
        </w:rPr>
        <w:t>Application Requirements:</w:t>
      </w:r>
      <w:r w:rsidRPr="001B0898">
        <w:rPr>
          <w:sz w:val="24"/>
          <w:szCs w:val="24"/>
        </w:rPr>
        <w:t xml:space="preserve">  Applications must be submitted by the deadline established by the CoC Ranki</w:t>
      </w:r>
      <w:r w:rsidRPr="001B0898">
        <w:rPr>
          <w:sz w:val="24"/>
          <w:szCs w:val="24"/>
        </w:rPr>
        <w:t xml:space="preserve">ng Committee and published on the CoC website at the beginning of each </w:t>
      </w:r>
      <w:r w:rsidRPr="001B0898">
        <w:rPr>
          <w:sz w:val="24"/>
          <w:szCs w:val="24"/>
        </w:rPr>
        <w:t>Application cycle</w:t>
      </w:r>
      <w:r w:rsidRPr="001B0898">
        <w:rPr>
          <w:sz w:val="24"/>
          <w:szCs w:val="24"/>
        </w:rPr>
        <w:t xml:space="preserve">.  Applications must be complete at submission and include all supporting documentation in the order established by the committee at the beginning of the </w:t>
      </w:r>
      <w:r w:rsidRPr="001B0898">
        <w:rPr>
          <w:sz w:val="24"/>
          <w:szCs w:val="24"/>
        </w:rPr>
        <w:t>Application cy</w:t>
      </w:r>
      <w:r w:rsidRPr="001B0898">
        <w:rPr>
          <w:sz w:val="24"/>
          <w:szCs w:val="24"/>
        </w:rPr>
        <w:t>cle</w:t>
      </w:r>
      <w:r w:rsidRPr="001B0898">
        <w:rPr>
          <w:sz w:val="24"/>
          <w:szCs w:val="24"/>
        </w:rPr>
        <w:t xml:space="preserve">. Each application element must be clearly identified. The CoC staff will acknowledge receipt of applications. </w:t>
      </w:r>
    </w:p>
    <w:p w14:paraId="53647C0F" w14:textId="77777777" w:rsidR="003E5863" w:rsidRPr="001B0898" w:rsidRDefault="003E5863">
      <w:pPr>
        <w:pBdr>
          <w:top w:val="nil"/>
          <w:left w:val="nil"/>
          <w:bottom w:val="nil"/>
          <w:right w:val="nil"/>
          <w:between w:val="nil"/>
        </w:pBdr>
        <w:spacing w:after="0" w:line="240" w:lineRule="auto"/>
        <w:rPr>
          <w:sz w:val="24"/>
          <w:szCs w:val="24"/>
        </w:rPr>
      </w:pPr>
    </w:p>
    <w:p w14:paraId="50F81F71" w14:textId="77777777" w:rsidR="003E5863" w:rsidRPr="001B0898" w:rsidRDefault="001B0898">
      <w:pPr>
        <w:pBdr>
          <w:top w:val="nil"/>
          <w:left w:val="nil"/>
          <w:bottom w:val="nil"/>
          <w:right w:val="nil"/>
          <w:between w:val="nil"/>
        </w:pBdr>
        <w:spacing w:after="0" w:line="240" w:lineRule="auto"/>
        <w:rPr>
          <w:sz w:val="24"/>
          <w:szCs w:val="24"/>
        </w:rPr>
      </w:pPr>
      <w:r w:rsidRPr="001B0898">
        <w:rPr>
          <w:b/>
          <w:sz w:val="24"/>
          <w:szCs w:val="24"/>
        </w:rPr>
        <w:t>Complete Applications:</w:t>
      </w:r>
      <w:r w:rsidRPr="001B0898">
        <w:rPr>
          <w:sz w:val="24"/>
          <w:szCs w:val="24"/>
        </w:rPr>
        <w:t xml:space="preserve"> Project application responses must be specific and unique to the project. The Ranking Committee will determine which </w:t>
      </w:r>
      <w:r w:rsidRPr="001B0898">
        <w:rPr>
          <w:sz w:val="24"/>
          <w:szCs w:val="24"/>
        </w:rPr>
        <w:t>applications are complete and eligible</w:t>
      </w:r>
      <w:r w:rsidRPr="001B0898">
        <w:rPr>
          <w:sz w:val="24"/>
          <w:szCs w:val="24"/>
        </w:rPr>
        <w:t xml:space="preserve">, and only those </w:t>
      </w:r>
      <w:r w:rsidRPr="001B0898">
        <w:rPr>
          <w:sz w:val="24"/>
          <w:szCs w:val="24"/>
        </w:rPr>
        <w:t>will be scored</w:t>
      </w:r>
      <w:r w:rsidRPr="001B0898">
        <w:rPr>
          <w:sz w:val="24"/>
          <w:szCs w:val="24"/>
        </w:rPr>
        <w:t>.</w:t>
      </w:r>
      <w:r w:rsidRPr="001B0898">
        <w:rPr>
          <w:sz w:val="24"/>
          <w:szCs w:val="24"/>
        </w:rPr>
        <w:t xml:space="preserve">  Applications are ranked based on the score in accordance with the ranking policy adopted by the CoC Board. (see below) </w:t>
      </w:r>
    </w:p>
    <w:p w14:paraId="59DB23A4" w14:textId="77777777" w:rsidR="003E5863" w:rsidRPr="001B0898" w:rsidRDefault="003E5863">
      <w:pPr>
        <w:pBdr>
          <w:top w:val="nil"/>
          <w:left w:val="nil"/>
          <w:bottom w:val="nil"/>
          <w:right w:val="nil"/>
          <w:between w:val="nil"/>
        </w:pBdr>
        <w:spacing w:after="0" w:line="240" w:lineRule="auto"/>
        <w:rPr>
          <w:color w:val="FF0000"/>
          <w:sz w:val="24"/>
          <w:szCs w:val="24"/>
          <w:u w:val="single"/>
        </w:rPr>
      </w:pPr>
    </w:p>
    <w:p w14:paraId="46F33281" w14:textId="77777777" w:rsidR="003E5863" w:rsidRPr="001B0898" w:rsidRDefault="001B0898">
      <w:pPr>
        <w:pBdr>
          <w:top w:val="nil"/>
          <w:left w:val="nil"/>
          <w:bottom w:val="nil"/>
          <w:right w:val="nil"/>
          <w:between w:val="nil"/>
        </w:pBdr>
        <w:spacing w:after="0" w:line="240" w:lineRule="auto"/>
        <w:rPr>
          <w:sz w:val="24"/>
          <w:szCs w:val="24"/>
        </w:rPr>
      </w:pPr>
      <w:bookmarkStart w:id="0" w:name="_heading=h.gjdgxs" w:colFirst="0" w:colLast="0"/>
      <w:bookmarkEnd w:id="0"/>
      <w:r w:rsidRPr="001B0898">
        <w:rPr>
          <w:b/>
          <w:sz w:val="24"/>
          <w:szCs w:val="24"/>
        </w:rPr>
        <w:lastRenderedPageBreak/>
        <w:t>Incomplete Applications:</w:t>
      </w:r>
      <w:r w:rsidRPr="001B0898">
        <w:rPr>
          <w:sz w:val="24"/>
          <w:szCs w:val="24"/>
        </w:rPr>
        <w:t xml:space="preserve">  Applicants are responsible for follow</w:t>
      </w:r>
      <w:r w:rsidRPr="001B0898">
        <w:rPr>
          <w:sz w:val="24"/>
          <w:szCs w:val="24"/>
        </w:rPr>
        <w:t>ing instructions and guidelines for completing applications. An application that has unanswered questions or is missing required documentation will be considered incomplete.  Incomplete applications are ineligible for scoring.  The applicant will be notifi</w:t>
      </w:r>
      <w:r w:rsidRPr="001B0898">
        <w:rPr>
          <w:sz w:val="24"/>
          <w:szCs w:val="24"/>
        </w:rPr>
        <w:t xml:space="preserve">ed via </w:t>
      </w:r>
      <w:r w:rsidRPr="001B0898">
        <w:rPr>
          <w:sz w:val="24"/>
          <w:szCs w:val="24"/>
        </w:rPr>
        <w:t>email to the address provided on the application</w:t>
      </w:r>
      <w:r w:rsidRPr="001B0898">
        <w:rPr>
          <w:sz w:val="24"/>
          <w:szCs w:val="24"/>
        </w:rPr>
        <w:t>, and appeal criteria will be included in the notification.</w:t>
      </w:r>
    </w:p>
    <w:p w14:paraId="7AE5563A" w14:textId="77777777" w:rsidR="003E5863" w:rsidRPr="001B0898" w:rsidRDefault="003E5863">
      <w:pPr>
        <w:pBdr>
          <w:top w:val="nil"/>
          <w:left w:val="nil"/>
          <w:bottom w:val="nil"/>
          <w:right w:val="nil"/>
          <w:between w:val="nil"/>
        </w:pBdr>
        <w:spacing w:after="0" w:line="240" w:lineRule="auto"/>
        <w:rPr>
          <w:sz w:val="24"/>
          <w:szCs w:val="24"/>
        </w:rPr>
      </w:pPr>
    </w:p>
    <w:p w14:paraId="4B29E754" w14:textId="77777777" w:rsidR="003E5863" w:rsidRPr="001B0898" w:rsidRDefault="001B0898">
      <w:pPr>
        <w:pBdr>
          <w:top w:val="nil"/>
          <w:left w:val="nil"/>
          <w:bottom w:val="nil"/>
          <w:right w:val="nil"/>
          <w:between w:val="nil"/>
        </w:pBdr>
        <w:spacing w:after="0" w:line="240" w:lineRule="auto"/>
        <w:rPr>
          <w:sz w:val="24"/>
          <w:szCs w:val="24"/>
        </w:rPr>
      </w:pPr>
      <w:r w:rsidRPr="001B0898">
        <w:rPr>
          <w:b/>
          <w:sz w:val="24"/>
          <w:szCs w:val="24"/>
        </w:rPr>
        <w:t>Late Applications:</w:t>
      </w:r>
      <w:r w:rsidRPr="001B0898">
        <w:rPr>
          <w:sz w:val="24"/>
          <w:szCs w:val="24"/>
        </w:rPr>
        <w:t xml:space="preserve"> The CoC Staff is not permitted to accept late applications.  There is no appeal process for late applications.</w:t>
      </w:r>
    </w:p>
    <w:p w14:paraId="219C6FE3" w14:textId="77777777" w:rsidR="003E5863" w:rsidRPr="001B0898" w:rsidRDefault="003E5863">
      <w:pPr>
        <w:pBdr>
          <w:top w:val="nil"/>
          <w:left w:val="nil"/>
          <w:bottom w:val="nil"/>
          <w:right w:val="nil"/>
          <w:between w:val="nil"/>
        </w:pBdr>
        <w:spacing w:after="0" w:line="240" w:lineRule="auto"/>
        <w:rPr>
          <w:sz w:val="24"/>
          <w:szCs w:val="24"/>
        </w:rPr>
      </w:pPr>
    </w:p>
    <w:p w14:paraId="097D204C" w14:textId="0D35CE1E" w:rsidR="003E5863" w:rsidRPr="001B0898" w:rsidRDefault="001B0898">
      <w:pPr>
        <w:pBdr>
          <w:top w:val="nil"/>
          <w:left w:val="nil"/>
          <w:bottom w:val="nil"/>
          <w:right w:val="nil"/>
          <w:between w:val="nil"/>
        </w:pBdr>
        <w:spacing w:after="0" w:line="240" w:lineRule="auto"/>
        <w:rPr>
          <w:sz w:val="24"/>
          <w:szCs w:val="24"/>
        </w:rPr>
      </w:pPr>
      <w:r w:rsidRPr="001B0898">
        <w:rPr>
          <w:b/>
          <w:sz w:val="24"/>
          <w:szCs w:val="24"/>
        </w:rPr>
        <w:t xml:space="preserve">Ineligible/Invalid Applications: </w:t>
      </w:r>
      <w:r w:rsidRPr="001B0898">
        <w:rPr>
          <w:sz w:val="24"/>
          <w:szCs w:val="24"/>
        </w:rPr>
        <w:t xml:space="preserve">Applications containing conflicting, inaccurate and/or </w:t>
      </w:r>
      <w:r w:rsidRPr="001B0898">
        <w:rPr>
          <w:sz w:val="24"/>
          <w:szCs w:val="24"/>
        </w:rPr>
        <w:t xml:space="preserve">potentially </w:t>
      </w:r>
      <w:r w:rsidRPr="001B0898">
        <w:rPr>
          <w:sz w:val="24"/>
          <w:szCs w:val="24"/>
        </w:rPr>
        <w:t>fraudulent information will be deemed inel</w:t>
      </w:r>
      <w:r w:rsidRPr="001B0898">
        <w:rPr>
          <w:sz w:val="24"/>
          <w:szCs w:val="24"/>
        </w:rPr>
        <w:t xml:space="preserve">igible/invalid. </w:t>
      </w:r>
      <w:r w:rsidRPr="001B0898">
        <w:rPr>
          <w:sz w:val="24"/>
          <w:szCs w:val="24"/>
        </w:rPr>
        <w:t>The applicant will be notified via email to the address provided on the application, and appeal criteria will be included in the notification.</w:t>
      </w:r>
    </w:p>
    <w:p w14:paraId="204CCC5E" w14:textId="77777777" w:rsidR="003E5863" w:rsidRPr="001B0898" w:rsidRDefault="003E5863">
      <w:pPr>
        <w:pBdr>
          <w:top w:val="nil"/>
          <w:left w:val="nil"/>
          <w:bottom w:val="nil"/>
          <w:right w:val="nil"/>
          <w:between w:val="nil"/>
        </w:pBdr>
        <w:spacing w:after="0" w:line="240" w:lineRule="auto"/>
        <w:rPr>
          <w:sz w:val="24"/>
          <w:szCs w:val="24"/>
        </w:rPr>
      </w:pPr>
    </w:p>
    <w:p w14:paraId="3D48F3F0" w14:textId="77777777" w:rsidR="003E5863" w:rsidRPr="001B0898" w:rsidRDefault="001B0898">
      <w:pPr>
        <w:pBdr>
          <w:top w:val="nil"/>
          <w:left w:val="nil"/>
          <w:bottom w:val="nil"/>
          <w:right w:val="nil"/>
          <w:between w:val="nil"/>
        </w:pBdr>
        <w:spacing w:after="0" w:line="240" w:lineRule="auto"/>
        <w:rPr>
          <w:sz w:val="24"/>
          <w:szCs w:val="24"/>
        </w:rPr>
      </w:pPr>
      <w:r w:rsidRPr="001B0898">
        <w:rPr>
          <w:sz w:val="24"/>
          <w:szCs w:val="24"/>
        </w:rPr>
        <w:t>In the event the number of submitted applications does not cover the ARD, the CoC will act and a</w:t>
      </w:r>
      <w:r w:rsidRPr="001B0898">
        <w:rPr>
          <w:sz w:val="24"/>
          <w:szCs w:val="24"/>
        </w:rPr>
        <w:t>pply for the remaining funds based on identified community needs and funding availability, with the goal of sub granting the funds out using an RFP process. This would be accomplished using a separate application process, the details of which will be publi</w:t>
      </w:r>
      <w:r w:rsidRPr="001B0898">
        <w:rPr>
          <w:sz w:val="24"/>
          <w:szCs w:val="24"/>
        </w:rPr>
        <w:t xml:space="preserve">shed, after consultation with the Tri-Hic Board, on the CoC website. </w:t>
      </w:r>
    </w:p>
    <w:p w14:paraId="32C30419" w14:textId="77777777" w:rsidR="003E5863" w:rsidRPr="001B0898" w:rsidRDefault="003E5863">
      <w:pPr>
        <w:pBdr>
          <w:top w:val="nil"/>
          <w:left w:val="nil"/>
          <w:bottom w:val="nil"/>
          <w:right w:val="nil"/>
          <w:between w:val="nil"/>
        </w:pBdr>
        <w:spacing w:after="0" w:line="240" w:lineRule="auto"/>
        <w:rPr>
          <w:color w:val="000000"/>
          <w:sz w:val="24"/>
          <w:szCs w:val="24"/>
        </w:rPr>
      </w:pPr>
    </w:p>
    <w:p w14:paraId="7E80F89D" w14:textId="77777777" w:rsidR="003E5863" w:rsidRPr="001B0898" w:rsidRDefault="001B0898">
      <w:pPr>
        <w:pBdr>
          <w:top w:val="nil"/>
          <w:left w:val="nil"/>
          <w:bottom w:val="nil"/>
          <w:right w:val="nil"/>
          <w:between w:val="nil"/>
        </w:pBdr>
        <w:spacing w:after="0" w:line="240" w:lineRule="auto"/>
        <w:rPr>
          <w:b/>
          <w:color w:val="000000"/>
          <w:sz w:val="24"/>
          <w:szCs w:val="24"/>
          <w:u w:val="single"/>
        </w:rPr>
      </w:pPr>
      <w:r w:rsidRPr="001B0898">
        <w:rPr>
          <w:b/>
          <w:color w:val="000000"/>
          <w:sz w:val="24"/>
          <w:szCs w:val="24"/>
          <w:u w:val="single"/>
        </w:rPr>
        <w:t>Rating Policy</w:t>
      </w:r>
    </w:p>
    <w:p w14:paraId="34CE8E74" w14:textId="77777777" w:rsidR="003E5863" w:rsidRPr="001B0898" w:rsidRDefault="001B0898">
      <w:pPr>
        <w:spacing w:after="0" w:line="240" w:lineRule="auto"/>
        <w:rPr>
          <w:sz w:val="24"/>
          <w:szCs w:val="24"/>
        </w:rPr>
      </w:pPr>
      <w:r w:rsidRPr="001B0898">
        <w:rPr>
          <w:sz w:val="24"/>
          <w:szCs w:val="24"/>
        </w:rPr>
        <w:t xml:space="preserve">Projects will be rated and scored on objective factors based upon local, state and federal standards. The Ranking Committee uses CoC-approved, separate scorecards for new projects, renewal projects and projects with less than 1 year of data </w:t>
      </w:r>
      <w:r w:rsidRPr="001B0898">
        <w:rPr>
          <w:sz w:val="24"/>
          <w:szCs w:val="24"/>
        </w:rPr>
        <w:t>within each pro</w:t>
      </w:r>
      <w:r w:rsidRPr="001B0898">
        <w:rPr>
          <w:sz w:val="24"/>
          <w:szCs w:val="24"/>
        </w:rPr>
        <w:t>ject category</w:t>
      </w:r>
      <w:r w:rsidRPr="001B0898">
        <w:rPr>
          <w:sz w:val="24"/>
          <w:szCs w:val="24"/>
        </w:rPr>
        <w:t xml:space="preserve">. </w:t>
      </w:r>
    </w:p>
    <w:p w14:paraId="733BD5E0" w14:textId="77777777" w:rsidR="003E5863" w:rsidRPr="001B0898" w:rsidRDefault="003E5863">
      <w:pPr>
        <w:spacing w:after="0" w:line="240" w:lineRule="auto"/>
        <w:rPr>
          <w:sz w:val="24"/>
          <w:szCs w:val="24"/>
        </w:rPr>
      </w:pPr>
    </w:p>
    <w:p w14:paraId="5988D521" w14:textId="77777777" w:rsidR="003E5863" w:rsidRPr="001B0898" w:rsidRDefault="001B0898">
      <w:pPr>
        <w:spacing w:after="0" w:line="240" w:lineRule="auto"/>
        <w:rPr>
          <w:sz w:val="24"/>
          <w:szCs w:val="24"/>
        </w:rPr>
      </w:pPr>
      <w:r w:rsidRPr="001B0898">
        <w:rPr>
          <w:sz w:val="24"/>
          <w:szCs w:val="24"/>
        </w:rPr>
        <w:t>New projects will be scored using a new project scorecard.</w:t>
      </w:r>
    </w:p>
    <w:p w14:paraId="71653C69" w14:textId="77777777" w:rsidR="003E5863" w:rsidRPr="001B0898" w:rsidRDefault="003E5863">
      <w:pPr>
        <w:spacing w:after="0" w:line="240" w:lineRule="auto"/>
        <w:rPr>
          <w:sz w:val="24"/>
          <w:szCs w:val="24"/>
        </w:rPr>
      </w:pPr>
    </w:p>
    <w:p w14:paraId="53CB77C9" w14:textId="77777777" w:rsidR="003E5863" w:rsidRPr="001B0898" w:rsidRDefault="001B0898">
      <w:pPr>
        <w:spacing w:after="0" w:line="240" w:lineRule="auto"/>
        <w:rPr>
          <w:sz w:val="24"/>
          <w:szCs w:val="24"/>
        </w:rPr>
      </w:pPr>
      <w:r w:rsidRPr="001B0898">
        <w:rPr>
          <w:sz w:val="24"/>
          <w:szCs w:val="24"/>
        </w:rPr>
        <w:t xml:space="preserve">Projects with at least one year of full operation will be scored on a renewal scorecard based on project performance, data quality and overall financial stability. </w:t>
      </w:r>
    </w:p>
    <w:p w14:paraId="3FBF4CBC" w14:textId="77777777" w:rsidR="003E5863" w:rsidRPr="001B0898" w:rsidRDefault="003E5863">
      <w:pPr>
        <w:spacing w:after="0" w:line="240" w:lineRule="auto"/>
        <w:rPr>
          <w:sz w:val="24"/>
          <w:szCs w:val="24"/>
        </w:rPr>
      </w:pPr>
    </w:p>
    <w:p w14:paraId="28EFA5A9" w14:textId="77777777" w:rsidR="003E5863" w:rsidRPr="001B0898" w:rsidRDefault="001B0898">
      <w:pPr>
        <w:spacing w:after="0" w:line="240" w:lineRule="auto"/>
        <w:rPr>
          <w:sz w:val="24"/>
          <w:szCs w:val="24"/>
        </w:rPr>
      </w:pPr>
      <w:r w:rsidRPr="001B0898">
        <w:rPr>
          <w:sz w:val="24"/>
          <w:szCs w:val="24"/>
        </w:rPr>
        <w:t>Projects with</w:t>
      </w:r>
      <w:r w:rsidRPr="001B0898">
        <w:rPr>
          <w:sz w:val="24"/>
          <w:szCs w:val="24"/>
        </w:rPr>
        <w:t xml:space="preserve"> less than 1 year of data will utilize a separate renewal scorecard with a limited set of questions that allow for measurable elements. </w:t>
      </w:r>
    </w:p>
    <w:p w14:paraId="0CB30450" w14:textId="77777777" w:rsidR="003E5863" w:rsidRPr="001B0898" w:rsidRDefault="003E5863">
      <w:pPr>
        <w:pBdr>
          <w:top w:val="nil"/>
          <w:left w:val="nil"/>
          <w:bottom w:val="nil"/>
          <w:right w:val="nil"/>
          <w:between w:val="nil"/>
        </w:pBdr>
        <w:spacing w:after="0" w:line="240" w:lineRule="auto"/>
        <w:rPr>
          <w:sz w:val="24"/>
          <w:szCs w:val="24"/>
        </w:rPr>
      </w:pPr>
    </w:p>
    <w:p w14:paraId="4AB92237" w14:textId="77777777" w:rsidR="003E5863" w:rsidRPr="001B0898" w:rsidRDefault="001B0898">
      <w:pPr>
        <w:pBdr>
          <w:top w:val="nil"/>
          <w:left w:val="nil"/>
          <w:bottom w:val="nil"/>
          <w:right w:val="nil"/>
          <w:between w:val="nil"/>
        </w:pBdr>
        <w:spacing w:after="0" w:line="240" w:lineRule="auto"/>
        <w:rPr>
          <w:color w:val="000000"/>
          <w:sz w:val="24"/>
          <w:szCs w:val="24"/>
        </w:rPr>
      </w:pPr>
      <w:r w:rsidRPr="001B0898">
        <w:rPr>
          <w:color w:val="000000"/>
          <w:sz w:val="24"/>
          <w:szCs w:val="24"/>
        </w:rPr>
        <w:t>Project</w:t>
      </w:r>
      <w:r w:rsidRPr="001B0898">
        <w:rPr>
          <w:sz w:val="24"/>
          <w:szCs w:val="24"/>
        </w:rPr>
        <w:t xml:space="preserve"> applicants must be prepared to utilize HMIS or a DV comparable database if they are exclusively serving victim</w:t>
      </w:r>
      <w:r w:rsidRPr="001B0898">
        <w:rPr>
          <w:sz w:val="24"/>
          <w:szCs w:val="24"/>
        </w:rPr>
        <w:t>s of DV/sex trafficking</w:t>
      </w:r>
      <w:r w:rsidRPr="001B0898">
        <w:rPr>
          <w:color w:val="000000"/>
          <w:sz w:val="24"/>
          <w:szCs w:val="24"/>
        </w:rPr>
        <w:t>.</w:t>
      </w:r>
    </w:p>
    <w:p w14:paraId="3B6277D0" w14:textId="77777777" w:rsidR="003E5863" w:rsidRPr="001B0898" w:rsidRDefault="003E5863">
      <w:pPr>
        <w:pBdr>
          <w:top w:val="nil"/>
          <w:left w:val="nil"/>
          <w:bottom w:val="nil"/>
          <w:right w:val="nil"/>
          <w:between w:val="nil"/>
        </w:pBdr>
        <w:spacing w:after="0" w:line="240" w:lineRule="auto"/>
        <w:rPr>
          <w:color w:val="000000"/>
          <w:sz w:val="24"/>
          <w:szCs w:val="24"/>
        </w:rPr>
      </w:pPr>
    </w:p>
    <w:p w14:paraId="4B9B4C9D" w14:textId="77777777" w:rsidR="003E5863" w:rsidRPr="001B0898" w:rsidRDefault="001B0898">
      <w:pPr>
        <w:pBdr>
          <w:top w:val="nil"/>
          <w:left w:val="nil"/>
          <w:bottom w:val="nil"/>
          <w:right w:val="nil"/>
          <w:between w:val="nil"/>
        </w:pBdr>
        <w:spacing w:after="0" w:line="240" w:lineRule="auto"/>
        <w:rPr>
          <w:color w:val="000000"/>
          <w:sz w:val="24"/>
          <w:szCs w:val="24"/>
        </w:rPr>
      </w:pPr>
      <w:r w:rsidRPr="001B0898">
        <w:rPr>
          <w:color w:val="000000"/>
          <w:sz w:val="24"/>
          <w:szCs w:val="24"/>
        </w:rPr>
        <w:t xml:space="preserve">The score used for ranking will be a percentage, calculated by dividing the total points earned </w:t>
      </w:r>
      <w:r w:rsidRPr="001B0898">
        <w:rPr>
          <w:sz w:val="24"/>
          <w:szCs w:val="24"/>
        </w:rPr>
        <w:t xml:space="preserve">by </w:t>
      </w:r>
      <w:r w:rsidRPr="001B0898">
        <w:rPr>
          <w:color w:val="000000"/>
          <w:sz w:val="24"/>
          <w:szCs w:val="24"/>
        </w:rPr>
        <w:t>the maximum points available</w:t>
      </w:r>
      <w:r w:rsidRPr="001B0898">
        <w:rPr>
          <w:sz w:val="24"/>
          <w:szCs w:val="24"/>
        </w:rPr>
        <w:t>.</w:t>
      </w:r>
      <w:r w:rsidRPr="001B0898">
        <w:rPr>
          <w:color w:val="000000"/>
          <w:sz w:val="24"/>
          <w:szCs w:val="24"/>
        </w:rPr>
        <w:t xml:space="preserve"> </w:t>
      </w:r>
    </w:p>
    <w:p w14:paraId="1FD70C03" w14:textId="77777777" w:rsidR="003E5863" w:rsidRPr="001B0898" w:rsidRDefault="003E5863">
      <w:pPr>
        <w:pBdr>
          <w:top w:val="nil"/>
          <w:left w:val="nil"/>
          <w:bottom w:val="nil"/>
          <w:right w:val="nil"/>
          <w:between w:val="nil"/>
        </w:pBdr>
        <w:spacing w:after="0" w:line="240" w:lineRule="auto"/>
        <w:rPr>
          <w:color w:val="FF0000"/>
          <w:sz w:val="24"/>
          <w:szCs w:val="24"/>
        </w:rPr>
      </w:pPr>
    </w:p>
    <w:p w14:paraId="17F494ED" w14:textId="77777777" w:rsidR="003E5863" w:rsidRPr="001B0898" w:rsidRDefault="001B0898">
      <w:pPr>
        <w:pBdr>
          <w:top w:val="nil"/>
          <w:left w:val="nil"/>
          <w:bottom w:val="nil"/>
          <w:right w:val="nil"/>
          <w:between w:val="nil"/>
        </w:pBdr>
        <w:spacing w:after="0" w:line="240" w:lineRule="auto"/>
        <w:rPr>
          <w:color w:val="000000"/>
          <w:sz w:val="24"/>
          <w:szCs w:val="24"/>
        </w:rPr>
      </w:pPr>
      <w:r w:rsidRPr="001B0898">
        <w:rPr>
          <w:sz w:val="24"/>
          <w:szCs w:val="24"/>
        </w:rPr>
        <w:t>Applicants are responsible for submitting the most recent monitoring report they received from any federal, state or local entity providing funding and/or oversight of the applicant, including all correspondence and corrective action plans.</w:t>
      </w:r>
    </w:p>
    <w:p w14:paraId="1D0206AA" w14:textId="77777777" w:rsidR="003E5863" w:rsidRPr="001B0898" w:rsidRDefault="003E5863">
      <w:pPr>
        <w:pBdr>
          <w:top w:val="nil"/>
          <w:left w:val="nil"/>
          <w:bottom w:val="nil"/>
          <w:right w:val="nil"/>
          <w:between w:val="nil"/>
        </w:pBdr>
        <w:spacing w:after="0" w:line="240" w:lineRule="auto"/>
        <w:rPr>
          <w:color w:val="000000"/>
          <w:sz w:val="24"/>
          <w:szCs w:val="24"/>
        </w:rPr>
      </w:pPr>
    </w:p>
    <w:p w14:paraId="6E97FC50" w14:textId="77777777" w:rsidR="001B0898" w:rsidRDefault="001B0898">
      <w:pPr>
        <w:rPr>
          <w:b/>
          <w:color w:val="000000"/>
          <w:sz w:val="24"/>
          <w:szCs w:val="24"/>
          <w:u w:val="single"/>
        </w:rPr>
      </w:pPr>
      <w:r>
        <w:rPr>
          <w:b/>
          <w:color w:val="000000"/>
          <w:sz w:val="24"/>
          <w:szCs w:val="24"/>
          <w:u w:val="single"/>
        </w:rPr>
        <w:br w:type="page"/>
      </w:r>
    </w:p>
    <w:p w14:paraId="71C674EE" w14:textId="3C24E5FD" w:rsidR="003E5863" w:rsidRPr="001B0898" w:rsidRDefault="001B0898">
      <w:pPr>
        <w:pBdr>
          <w:top w:val="nil"/>
          <w:left w:val="nil"/>
          <w:bottom w:val="nil"/>
          <w:right w:val="nil"/>
          <w:between w:val="nil"/>
        </w:pBdr>
        <w:spacing w:after="0" w:line="240" w:lineRule="auto"/>
        <w:rPr>
          <w:b/>
          <w:color w:val="000000"/>
          <w:sz w:val="24"/>
          <w:szCs w:val="24"/>
        </w:rPr>
      </w:pPr>
      <w:r w:rsidRPr="001B0898">
        <w:rPr>
          <w:b/>
          <w:color w:val="000000"/>
          <w:sz w:val="24"/>
          <w:szCs w:val="24"/>
          <w:u w:val="single"/>
        </w:rPr>
        <w:lastRenderedPageBreak/>
        <w:t>Ranking Policy</w:t>
      </w:r>
    </w:p>
    <w:p w14:paraId="6580D21C" w14:textId="77777777" w:rsidR="003E5863" w:rsidRPr="001B0898" w:rsidRDefault="001B0898">
      <w:pPr>
        <w:pBdr>
          <w:top w:val="nil"/>
          <w:left w:val="nil"/>
          <w:bottom w:val="nil"/>
          <w:right w:val="nil"/>
          <w:between w:val="nil"/>
        </w:pBdr>
        <w:spacing w:after="0" w:line="240" w:lineRule="auto"/>
        <w:rPr>
          <w:sz w:val="24"/>
          <w:szCs w:val="24"/>
        </w:rPr>
      </w:pPr>
      <w:r w:rsidRPr="001B0898">
        <w:rPr>
          <w:sz w:val="24"/>
          <w:szCs w:val="24"/>
        </w:rPr>
        <w:t xml:space="preserve">The Tri-HIC will rank all projects according to project application score from highest to lowest based on their respective scorecard </w:t>
      </w:r>
      <w:r w:rsidRPr="001B0898">
        <w:rPr>
          <w:sz w:val="24"/>
          <w:szCs w:val="24"/>
        </w:rPr>
        <w:t>only</w:t>
      </w:r>
      <w:r w:rsidRPr="001B0898">
        <w:rPr>
          <w:sz w:val="24"/>
          <w:szCs w:val="24"/>
        </w:rPr>
        <w:t xml:space="preserve">.  </w:t>
      </w:r>
      <w:r w:rsidRPr="001B0898">
        <w:rPr>
          <w:sz w:val="24"/>
          <w:szCs w:val="24"/>
        </w:rPr>
        <w:t xml:space="preserve">Whether they are a renewal </w:t>
      </w:r>
      <w:r w:rsidRPr="001B0898">
        <w:rPr>
          <w:sz w:val="24"/>
          <w:szCs w:val="24"/>
        </w:rPr>
        <w:t>or a new</w:t>
      </w:r>
      <w:r w:rsidRPr="001B0898">
        <w:rPr>
          <w:sz w:val="24"/>
          <w:szCs w:val="24"/>
        </w:rPr>
        <w:t xml:space="preserve"> project will not be a factor. </w:t>
      </w:r>
      <w:r w:rsidRPr="001B0898">
        <w:rPr>
          <w:sz w:val="24"/>
          <w:szCs w:val="24"/>
        </w:rPr>
        <w:t xml:space="preserve">The tie breaker for project applications will be </w:t>
      </w:r>
      <w:r w:rsidRPr="001B0898">
        <w:rPr>
          <w:sz w:val="24"/>
          <w:szCs w:val="24"/>
        </w:rPr>
        <w:t>the cost per participant; total funding request/households served.</w:t>
      </w:r>
      <w:r w:rsidRPr="001B0898">
        <w:rPr>
          <w:sz w:val="24"/>
          <w:szCs w:val="24"/>
        </w:rPr>
        <w:t xml:space="preserve">  The recommended ranking of projects </w:t>
      </w:r>
      <w:r w:rsidRPr="001B0898">
        <w:rPr>
          <w:sz w:val="24"/>
          <w:szCs w:val="24"/>
        </w:rPr>
        <w:t>will be presented</w:t>
      </w:r>
      <w:r w:rsidRPr="001B0898">
        <w:rPr>
          <w:sz w:val="24"/>
          <w:szCs w:val="24"/>
        </w:rPr>
        <w:t xml:space="preserve"> to the CoC Board for their </w:t>
      </w:r>
      <w:r w:rsidRPr="001B0898">
        <w:rPr>
          <w:sz w:val="24"/>
          <w:szCs w:val="24"/>
        </w:rPr>
        <w:t>approval</w:t>
      </w:r>
      <w:r w:rsidRPr="001B0898">
        <w:rPr>
          <w:sz w:val="24"/>
          <w:szCs w:val="24"/>
        </w:rPr>
        <w:t xml:space="preserve">.   </w:t>
      </w:r>
    </w:p>
    <w:p w14:paraId="1A095B8F" w14:textId="77777777" w:rsidR="003E5863" w:rsidRPr="001B0898" w:rsidRDefault="003E5863">
      <w:pPr>
        <w:pBdr>
          <w:top w:val="nil"/>
          <w:left w:val="nil"/>
          <w:bottom w:val="nil"/>
          <w:right w:val="nil"/>
          <w:between w:val="nil"/>
        </w:pBdr>
        <w:spacing w:after="0" w:line="240" w:lineRule="auto"/>
        <w:rPr>
          <w:color w:val="FF0000"/>
          <w:sz w:val="24"/>
          <w:szCs w:val="24"/>
        </w:rPr>
      </w:pPr>
    </w:p>
    <w:p w14:paraId="740A3930" w14:textId="77777777" w:rsidR="003E5863" w:rsidRPr="001B0898" w:rsidRDefault="001B0898">
      <w:pPr>
        <w:pBdr>
          <w:top w:val="nil"/>
          <w:left w:val="nil"/>
          <w:bottom w:val="nil"/>
          <w:right w:val="nil"/>
          <w:between w:val="nil"/>
        </w:pBdr>
        <w:spacing w:after="0" w:line="240" w:lineRule="auto"/>
        <w:rPr>
          <w:rFonts w:asciiTheme="minorHAnsi" w:hAnsiTheme="minorHAnsi" w:cstheme="minorHAnsi"/>
          <w:b/>
          <w:sz w:val="24"/>
          <w:szCs w:val="24"/>
          <w:u w:val="single"/>
        </w:rPr>
      </w:pPr>
      <w:r w:rsidRPr="001B0898">
        <w:rPr>
          <w:rFonts w:asciiTheme="minorHAnsi" w:hAnsiTheme="minorHAnsi" w:cstheme="minorHAnsi"/>
          <w:b/>
          <w:sz w:val="24"/>
          <w:szCs w:val="24"/>
          <w:u w:val="single"/>
        </w:rPr>
        <w:t>Appeals Policy and Processes</w:t>
      </w:r>
    </w:p>
    <w:p w14:paraId="4740E823" w14:textId="1883F506" w:rsidR="003E5863" w:rsidRPr="001B0898" w:rsidRDefault="001B0898">
      <w:pPr>
        <w:pBdr>
          <w:top w:val="nil"/>
          <w:left w:val="nil"/>
          <w:bottom w:val="nil"/>
          <w:right w:val="nil"/>
          <w:between w:val="nil"/>
        </w:pBdr>
        <w:spacing w:after="0" w:line="240" w:lineRule="auto"/>
        <w:rPr>
          <w:rFonts w:asciiTheme="minorHAnsi" w:hAnsiTheme="minorHAnsi" w:cstheme="minorHAnsi"/>
          <w:sz w:val="24"/>
          <w:szCs w:val="24"/>
        </w:rPr>
      </w:pPr>
      <w:r w:rsidRPr="001B0898">
        <w:rPr>
          <w:rFonts w:asciiTheme="minorHAnsi" w:eastAsia="Arial" w:hAnsiTheme="minorHAnsi" w:cstheme="minorHAnsi"/>
          <w:sz w:val="24"/>
          <w:szCs w:val="24"/>
          <w:highlight w:val="white"/>
        </w:rPr>
        <w:t>Applicants will receive communication on their project score via</w:t>
      </w:r>
      <w:r w:rsidRPr="001B0898">
        <w:rPr>
          <w:rFonts w:asciiTheme="minorHAnsi" w:eastAsia="Arial" w:hAnsiTheme="minorHAnsi" w:cstheme="minorHAnsi"/>
          <w:sz w:val="24"/>
          <w:szCs w:val="24"/>
          <w:highlight w:val="white"/>
        </w:rPr>
        <w:t xml:space="preserve"> email using the contact information they have provided on their application. Applicants will have 48 business hours to submit a written appeal to the CoC Administrative Office. No new information can be submitted as part of the appeals process. The CoC Ra</w:t>
      </w:r>
      <w:r w:rsidRPr="001B0898">
        <w:rPr>
          <w:rFonts w:asciiTheme="minorHAnsi" w:eastAsia="Arial" w:hAnsiTheme="minorHAnsi" w:cstheme="minorHAnsi"/>
          <w:sz w:val="24"/>
          <w:szCs w:val="24"/>
          <w:highlight w:val="white"/>
        </w:rPr>
        <w:t>nking Committee will review all appeals and respond in writing via e-mail within 7 business days of receiving the appeal. Should an applicant not be satisfied with the outcome of the appeal, they may submit a 2nd written appeal to the CoC Administrative Of</w:t>
      </w:r>
      <w:r w:rsidRPr="001B0898">
        <w:rPr>
          <w:rFonts w:asciiTheme="minorHAnsi" w:eastAsia="Arial" w:hAnsiTheme="minorHAnsi" w:cstheme="minorHAnsi"/>
          <w:sz w:val="24"/>
          <w:szCs w:val="24"/>
          <w:highlight w:val="white"/>
        </w:rPr>
        <w:t>fice, to be presented to the CoC Board, within 48 business hours of receiving their appeal response. The CoC Board will provide a final response via email within 7 business days of receiving a 2</w:t>
      </w:r>
      <w:r w:rsidRPr="001B0898">
        <w:rPr>
          <w:rFonts w:asciiTheme="minorHAnsi" w:eastAsia="Arial" w:hAnsiTheme="minorHAnsi" w:cstheme="minorHAnsi"/>
          <w:sz w:val="24"/>
          <w:szCs w:val="24"/>
          <w:vertAlign w:val="superscript"/>
        </w:rPr>
        <w:t>nd</w:t>
      </w:r>
      <w:r w:rsidRPr="001B0898">
        <w:rPr>
          <w:rFonts w:asciiTheme="minorHAnsi" w:eastAsia="Arial" w:hAnsiTheme="minorHAnsi" w:cstheme="minorHAnsi"/>
          <w:sz w:val="24"/>
          <w:szCs w:val="24"/>
          <w:highlight w:val="white"/>
        </w:rPr>
        <w:t xml:space="preserve"> appeal. The CoC Board may require a meeting with the appellant and will provide 48 hours notice of the date, </w:t>
      </w:r>
      <w:r w:rsidR="000C0E66" w:rsidRPr="001B0898">
        <w:rPr>
          <w:rFonts w:asciiTheme="minorHAnsi" w:eastAsia="Arial" w:hAnsiTheme="minorHAnsi" w:cstheme="minorHAnsi"/>
          <w:sz w:val="24"/>
          <w:szCs w:val="24"/>
          <w:highlight w:val="white"/>
        </w:rPr>
        <w:t>time,</w:t>
      </w:r>
      <w:r w:rsidRPr="001B0898">
        <w:rPr>
          <w:rFonts w:asciiTheme="minorHAnsi" w:eastAsia="Arial" w:hAnsiTheme="minorHAnsi" w:cstheme="minorHAnsi"/>
          <w:sz w:val="24"/>
          <w:szCs w:val="24"/>
          <w:highlight w:val="white"/>
        </w:rPr>
        <w:t xml:space="preserve"> and location of that meeting. Applicants who fail to appear at a 2</w:t>
      </w:r>
      <w:r w:rsidRPr="001B0898">
        <w:rPr>
          <w:rFonts w:asciiTheme="minorHAnsi" w:eastAsia="Arial" w:hAnsiTheme="minorHAnsi" w:cstheme="minorHAnsi"/>
          <w:sz w:val="24"/>
          <w:szCs w:val="24"/>
          <w:vertAlign w:val="superscript"/>
        </w:rPr>
        <w:t>nd</w:t>
      </w:r>
      <w:r w:rsidRPr="001B0898">
        <w:rPr>
          <w:rFonts w:asciiTheme="minorHAnsi" w:eastAsia="Arial" w:hAnsiTheme="minorHAnsi" w:cstheme="minorHAnsi"/>
          <w:sz w:val="24"/>
          <w:szCs w:val="24"/>
          <w:highlight w:val="white"/>
        </w:rPr>
        <w:t xml:space="preserve"> appeal meeting are forfeiting their appeal rights. Response from the CoC</w:t>
      </w:r>
      <w:r w:rsidRPr="001B0898">
        <w:rPr>
          <w:rFonts w:asciiTheme="minorHAnsi" w:eastAsia="Arial" w:hAnsiTheme="minorHAnsi" w:cstheme="minorHAnsi"/>
          <w:sz w:val="24"/>
          <w:szCs w:val="24"/>
          <w:highlight w:val="white"/>
        </w:rPr>
        <w:t xml:space="preserve"> Board to an appeal will constitute a final determination. </w:t>
      </w:r>
    </w:p>
    <w:p w14:paraId="201670BE" w14:textId="77777777" w:rsidR="003E5863" w:rsidRPr="001B0898" w:rsidRDefault="003E5863">
      <w:pPr>
        <w:pBdr>
          <w:top w:val="nil"/>
          <w:left w:val="nil"/>
          <w:bottom w:val="nil"/>
          <w:right w:val="nil"/>
          <w:between w:val="nil"/>
        </w:pBdr>
        <w:spacing w:after="0" w:line="240" w:lineRule="auto"/>
        <w:rPr>
          <w:color w:val="FF0000"/>
          <w:sz w:val="24"/>
          <w:szCs w:val="24"/>
        </w:rPr>
      </w:pPr>
    </w:p>
    <w:p w14:paraId="17EFDD53" w14:textId="77777777" w:rsidR="003E5863" w:rsidRPr="001B0898" w:rsidRDefault="001B0898">
      <w:pPr>
        <w:pBdr>
          <w:top w:val="nil"/>
          <w:left w:val="nil"/>
          <w:bottom w:val="nil"/>
          <w:right w:val="nil"/>
          <w:between w:val="nil"/>
        </w:pBdr>
        <w:spacing w:after="0" w:line="240" w:lineRule="auto"/>
        <w:rPr>
          <w:b/>
          <w:sz w:val="24"/>
          <w:szCs w:val="24"/>
        </w:rPr>
      </w:pPr>
      <w:r w:rsidRPr="001B0898">
        <w:rPr>
          <w:b/>
          <w:sz w:val="24"/>
          <w:szCs w:val="24"/>
          <w:u w:val="single"/>
        </w:rPr>
        <w:t>Reallocation Policy and Process</w:t>
      </w:r>
    </w:p>
    <w:p w14:paraId="680A8ABF" w14:textId="77777777" w:rsidR="003E5863" w:rsidRPr="001B0898" w:rsidRDefault="001B0898">
      <w:pPr>
        <w:pBdr>
          <w:top w:val="nil"/>
          <w:left w:val="nil"/>
          <w:bottom w:val="nil"/>
          <w:right w:val="nil"/>
          <w:between w:val="nil"/>
        </w:pBdr>
        <w:spacing w:after="0" w:line="240" w:lineRule="auto"/>
        <w:rPr>
          <w:sz w:val="24"/>
          <w:szCs w:val="24"/>
        </w:rPr>
      </w:pPr>
      <w:r w:rsidRPr="001B0898">
        <w:rPr>
          <w:color w:val="000000"/>
          <w:sz w:val="24"/>
          <w:szCs w:val="24"/>
        </w:rPr>
        <w:t>The T</w:t>
      </w:r>
      <w:r w:rsidRPr="001B0898">
        <w:rPr>
          <w:sz w:val="24"/>
          <w:szCs w:val="24"/>
        </w:rPr>
        <w:t>ri-HIC</w:t>
      </w:r>
      <w:r w:rsidRPr="001B0898">
        <w:rPr>
          <w:color w:val="000000"/>
          <w:sz w:val="24"/>
          <w:szCs w:val="24"/>
        </w:rPr>
        <w:t xml:space="preserve"> is supportive of voluntary reallocation of grant funds</w:t>
      </w:r>
      <w:r w:rsidRPr="001B0898">
        <w:rPr>
          <w:sz w:val="24"/>
          <w:szCs w:val="24"/>
        </w:rPr>
        <w:t xml:space="preserve"> by grantees who wish to change project type to meet community needs. Amounts that are voluntaril</w:t>
      </w:r>
      <w:r w:rsidRPr="001B0898">
        <w:rPr>
          <w:sz w:val="24"/>
          <w:szCs w:val="24"/>
        </w:rPr>
        <w:t>y reallocated prior to the local application process will be added to the total available funding for other project applications. Reallocation as a result of the scoring process will be based on projects’ position in the project rankings and their alignmen</w:t>
      </w:r>
      <w:r w:rsidRPr="001B0898">
        <w:rPr>
          <w:sz w:val="24"/>
          <w:szCs w:val="24"/>
        </w:rPr>
        <w:t xml:space="preserve">t with community needs, as identified by the CoC Board.  </w:t>
      </w:r>
    </w:p>
    <w:p w14:paraId="7779BA2B" w14:textId="77777777" w:rsidR="003E5863" w:rsidRPr="001B0898" w:rsidRDefault="003E5863">
      <w:pPr>
        <w:pBdr>
          <w:top w:val="nil"/>
          <w:left w:val="nil"/>
          <w:bottom w:val="nil"/>
          <w:right w:val="nil"/>
          <w:between w:val="nil"/>
        </w:pBdr>
        <w:spacing w:after="0" w:line="240" w:lineRule="auto"/>
        <w:rPr>
          <w:color w:val="000000"/>
          <w:sz w:val="24"/>
          <w:szCs w:val="24"/>
        </w:rPr>
      </w:pPr>
    </w:p>
    <w:p w14:paraId="13E7FC55" w14:textId="77777777" w:rsidR="003E5863" w:rsidRPr="001B0898" w:rsidRDefault="001B0898">
      <w:pPr>
        <w:pBdr>
          <w:top w:val="nil"/>
          <w:left w:val="nil"/>
          <w:bottom w:val="nil"/>
          <w:right w:val="nil"/>
          <w:between w:val="nil"/>
        </w:pBdr>
        <w:spacing w:after="0" w:line="240" w:lineRule="auto"/>
        <w:rPr>
          <w:sz w:val="24"/>
          <w:szCs w:val="24"/>
        </w:rPr>
      </w:pPr>
      <w:r w:rsidRPr="001B0898">
        <w:rPr>
          <w:sz w:val="24"/>
          <w:szCs w:val="24"/>
        </w:rPr>
        <w:t>It is t</w:t>
      </w:r>
      <w:r w:rsidRPr="001B0898">
        <w:rPr>
          <w:color w:val="000000"/>
          <w:sz w:val="24"/>
          <w:szCs w:val="24"/>
        </w:rPr>
        <w:t xml:space="preserve">he Tri-HIC </w:t>
      </w:r>
      <w:r w:rsidRPr="001B0898">
        <w:rPr>
          <w:sz w:val="24"/>
          <w:szCs w:val="24"/>
        </w:rPr>
        <w:t>policy</w:t>
      </w:r>
      <w:r w:rsidRPr="001B0898">
        <w:rPr>
          <w:color w:val="000000"/>
          <w:sz w:val="24"/>
          <w:szCs w:val="24"/>
        </w:rPr>
        <w:t xml:space="preserve"> that consistently under</w:t>
      </w:r>
      <w:r w:rsidRPr="001B0898">
        <w:rPr>
          <w:sz w:val="24"/>
          <w:szCs w:val="24"/>
        </w:rPr>
        <w:t>performing projects should not be funded.  The following criteria defines an underperforming project:</w:t>
      </w:r>
    </w:p>
    <w:p w14:paraId="45C81455" w14:textId="77777777" w:rsidR="003E5863" w:rsidRPr="001B0898" w:rsidRDefault="003E5863">
      <w:pPr>
        <w:pBdr>
          <w:top w:val="nil"/>
          <w:left w:val="nil"/>
          <w:bottom w:val="nil"/>
          <w:right w:val="nil"/>
          <w:between w:val="nil"/>
        </w:pBdr>
        <w:spacing w:after="0" w:line="240" w:lineRule="auto"/>
        <w:rPr>
          <w:sz w:val="24"/>
          <w:szCs w:val="24"/>
        </w:rPr>
      </w:pPr>
    </w:p>
    <w:p w14:paraId="27C0D759" w14:textId="77777777" w:rsidR="003E5863" w:rsidRPr="001B0898" w:rsidRDefault="001B0898">
      <w:pPr>
        <w:numPr>
          <w:ilvl w:val="0"/>
          <w:numId w:val="1"/>
        </w:numPr>
        <w:pBdr>
          <w:top w:val="nil"/>
          <w:left w:val="nil"/>
          <w:bottom w:val="nil"/>
          <w:right w:val="nil"/>
          <w:between w:val="nil"/>
        </w:pBdr>
        <w:spacing w:after="0" w:line="240" w:lineRule="auto"/>
        <w:rPr>
          <w:sz w:val="24"/>
          <w:szCs w:val="24"/>
        </w:rPr>
      </w:pPr>
      <w:r w:rsidRPr="001B0898">
        <w:rPr>
          <w:color w:val="000000"/>
          <w:sz w:val="24"/>
          <w:szCs w:val="24"/>
        </w:rPr>
        <w:t>A renewal project does not meet the minimum threshold for positive performance if:</w:t>
      </w:r>
    </w:p>
    <w:p w14:paraId="2C123C56" w14:textId="77777777" w:rsidR="003E5863" w:rsidRPr="001B0898" w:rsidRDefault="001B0898">
      <w:pPr>
        <w:numPr>
          <w:ilvl w:val="1"/>
          <w:numId w:val="1"/>
        </w:numPr>
        <w:pBdr>
          <w:top w:val="nil"/>
          <w:left w:val="nil"/>
          <w:bottom w:val="nil"/>
          <w:right w:val="nil"/>
          <w:between w:val="nil"/>
        </w:pBdr>
        <w:spacing w:after="0" w:line="240" w:lineRule="auto"/>
        <w:rPr>
          <w:sz w:val="24"/>
          <w:szCs w:val="24"/>
        </w:rPr>
      </w:pPr>
      <w:r w:rsidRPr="001B0898">
        <w:rPr>
          <w:color w:val="000000"/>
          <w:sz w:val="24"/>
          <w:szCs w:val="24"/>
        </w:rPr>
        <w:t xml:space="preserve">They fall in Tier 2 in the preliminary ranking; </w:t>
      </w:r>
      <w:r w:rsidRPr="001B0898">
        <w:rPr>
          <w:b/>
          <w:color w:val="000000"/>
          <w:sz w:val="24"/>
          <w:szCs w:val="24"/>
        </w:rPr>
        <w:t>or</w:t>
      </w:r>
    </w:p>
    <w:p w14:paraId="52A18243" w14:textId="77777777" w:rsidR="003E5863" w:rsidRPr="001B0898" w:rsidRDefault="001B0898">
      <w:pPr>
        <w:numPr>
          <w:ilvl w:val="1"/>
          <w:numId w:val="1"/>
        </w:numPr>
        <w:pBdr>
          <w:top w:val="nil"/>
          <w:left w:val="nil"/>
          <w:bottom w:val="nil"/>
          <w:right w:val="nil"/>
          <w:between w:val="nil"/>
        </w:pBdr>
        <w:spacing w:after="0" w:line="240" w:lineRule="auto"/>
        <w:rPr>
          <w:sz w:val="24"/>
          <w:szCs w:val="24"/>
        </w:rPr>
      </w:pPr>
      <w:r w:rsidRPr="001B0898">
        <w:rPr>
          <w:color w:val="000000"/>
          <w:sz w:val="24"/>
          <w:szCs w:val="24"/>
        </w:rPr>
        <w:t>They have financial</w:t>
      </w:r>
      <w:r w:rsidRPr="001B0898">
        <w:rPr>
          <w:color w:val="000000"/>
          <w:sz w:val="24"/>
          <w:szCs w:val="24"/>
        </w:rPr>
        <w:t xml:space="preserve"> audit or monitoring findings that they have not taken adequate steps to resolve;</w:t>
      </w:r>
      <w:r w:rsidRPr="001B0898">
        <w:rPr>
          <w:b/>
          <w:color w:val="000000"/>
          <w:sz w:val="24"/>
          <w:szCs w:val="24"/>
        </w:rPr>
        <w:t xml:space="preserve"> or</w:t>
      </w:r>
    </w:p>
    <w:p w14:paraId="190F2812" w14:textId="77777777" w:rsidR="003E5863" w:rsidRPr="001B0898" w:rsidRDefault="001B0898">
      <w:pPr>
        <w:numPr>
          <w:ilvl w:val="1"/>
          <w:numId w:val="1"/>
        </w:numPr>
        <w:pBdr>
          <w:top w:val="nil"/>
          <w:left w:val="nil"/>
          <w:bottom w:val="nil"/>
          <w:right w:val="nil"/>
          <w:between w:val="nil"/>
        </w:pBdr>
        <w:spacing w:after="0" w:line="240" w:lineRule="auto"/>
        <w:rPr>
          <w:sz w:val="24"/>
          <w:szCs w:val="24"/>
        </w:rPr>
      </w:pPr>
      <w:r w:rsidRPr="001B0898">
        <w:rPr>
          <w:color w:val="000000"/>
          <w:sz w:val="24"/>
          <w:szCs w:val="24"/>
        </w:rPr>
        <w:t xml:space="preserve">They </w:t>
      </w:r>
      <w:r w:rsidRPr="001B0898">
        <w:rPr>
          <w:sz w:val="24"/>
          <w:szCs w:val="24"/>
        </w:rPr>
        <w:t>are not</w:t>
      </w:r>
      <w:r w:rsidRPr="001B0898">
        <w:rPr>
          <w:color w:val="000000"/>
          <w:sz w:val="24"/>
          <w:szCs w:val="24"/>
        </w:rPr>
        <w:t xml:space="preserve"> Housing First.</w:t>
      </w:r>
    </w:p>
    <w:p w14:paraId="75810B4F" w14:textId="77777777" w:rsidR="003E5863" w:rsidRPr="001B0898" w:rsidRDefault="001B0898">
      <w:pPr>
        <w:numPr>
          <w:ilvl w:val="0"/>
          <w:numId w:val="1"/>
        </w:numPr>
        <w:pBdr>
          <w:top w:val="nil"/>
          <w:left w:val="nil"/>
          <w:bottom w:val="nil"/>
          <w:right w:val="nil"/>
          <w:between w:val="nil"/>
        </w:pBdr>
        <w:spacing w:after="0" w:line="240" w:lineRule="auto"/>
        <w:rPr>
          <w:sz w:val="24"/>
          <w:szCs w:val="24"/>
        </w:rPr>
      </w:pPr>
      <w:r w:rsidRPr="001B0898">
        <w:rPr>
          <w:color w:val="000000"/>
          <w:sz w:val="24"/>
          <w:szCs w:val="24"/>
        </w:rPr>
        <w:t>If the Ranking Committee determines that a project falls below this threshold, it will provide notes to the project specifying the reasons.</w:t>
      </w:r>
    </w:p>
    <w:p w14:paraId="729BCE8E" w14:textId="77777777" w:rsidR="003E5863" w:rsidRPr="001B0898" w:rsidRDefault="001B0898">
      <w:pPr>
        <w:numPr>
          <w:ilvl w:val="0"/>
          <w:numId w:val="1"/>
        </w:numPr>
        <w:spacing w:after="0" w:line="240" w:lineRule="auto"/>
        <w:rPr>
          <w:sz w:val="24"/>
          <w:szCs w:val="24"/>
        </w:rPr>
      </w:pPr>
      <w:r w:rsidRPr="001B0898">
        <w:rPr>
          <w:sz w:val="24"/>
          <w:szCs w:val="24"/>
        </w:rPr>
        <w:t>Fac</w:t>
      </w:r>
      <w:r w:rsidRPr="001B0898">
        <w:rPr>
          <w:sz w:val="24"/>
          <w:szCs w:val="24"/>
        </w:rPr>
        <w:t>tors outside of an organization's control may produce project performance outcomes for one year that are not indicative of the project’s history of or capacity for positive performance overall.</w:t>
      </w:r>
    </w:p>
    <w:p w14:paraId="5E501D56" w14:textId="3DB987B3" w:rsidR="001B0898" w:rsidRDefault="001B0898">
      <w:pPr>
        <w:numPr>
          <w:ilvl w:val="0"/>
          <w:numId w:val="1"/>
        </w:numPr>
        <w:pBdr>
          <w:top w:val="nil"/>
          <w:left w:val="nil"/>
          <w:bottom w:val="nil"/>
          <w:right w:val="nil"/>
          <w:between w:val="nil"/>
        </w:pBdr>
        <w:spacing w:after="0" w:line="240" w:lineRule="auto"/>
        <w:rPr>
          <w:color w:val="000000"/>
          <w:sz w:val="24"/>
          <w:szCs w:val="24"/>
        </w:rPr>
      </w:pPr>
      <w:r w:rsidRPr="001B0898">
        <w:rPr>
          <w:color w:val="000000"/>
          <w:sz w:val="24"/>
          <w:szCs w:val="24"/>
        </w:rPr>
        <w:t>Before considering reallocation, the Ranking Committee must re</w:t>
      </w:r>
      <w:r w:rsidRPr="001B0898">
        <w:rPr>
          <w:color w:val="000000"/>
          <w:sz w:val="24"/>
          <w:szCs w:val="24"/>
        </w:rPr>
        <w:t xml:space="preserve">view three past years of performance outcomes for each project, including score card data and position on the ranked list in the three most </w:t>
      </w:r>
      <w:r w:rsidRPr="001B0898">
        <w:rPr>
          <w:sz w:val="24"/>
          <w:szCs w:val="24"/>
        </w:rPr>
        <w:t>recently</w:t>
      </w:r>
      <w:r w:rsidRPr="001B0898">
        <w:rPr>
          <w:color w:val="000000"/>
          <w:sz w:val="24"/>
          <w:szCs w:val="24"/>
        </w:rPr>
        <w:t xml:space="preserve"> completed competitions.</w:t>
      </w:r>
    </w:p>
    <w:p w14:paraId="1197C19C" w14:textId="77777777" w:rsidR="001B0898" w:rsidRDefault="001B0898">
      <w:pPr>
        <w:rPr>
          <w:color w:val="000000"/>
          <w:sz w:val="24"/>
          <w:szCs w:val="24"/>
        </w:rPr>
      </w:pPr>
      <w:r>
        <w:rPr>
          <w:color w:val="000000"/>
          <w:sz w:val="24"/>
          <w:szCs w:val="24"/>
        </w:rPr>
        <w:br w:type="page"/>
      </w:r>
    </w:p>
    <w:p w14:paraId="428260E8" w14:textId="77777777" w:rsidR="003E5863" w:rsidRPr="001B0898" w:rsidRDefault="001B0898">
      <w:pPr>
        <w:numPr>
          <w:ilvl w:val="0"/>
          <w:numId w:val="1"/>
        </w:numPr>
        <w:pBdr>
          <w:top w:val="nil"/>
          <w:left w:val="nil"/>
          <w:bottom w:val="nil"/>
          <w:right w:val="nil"/>
          <w:between w:val="nil"/>
        </w:pBdr>
        <w:spacing w:after="0" w:line="240" w:lineRule="auto"/>
        <w:rPr>
          <w:sz w:val="24"/>
          <w:szCs w:val="24"/>
        </w:rPr>
      </w:pPr>
      <w:r w:rsidRPr="001B0898">
        <w:rPr>
          <w:color w:val="000000"/>
          <w:sz w:val="24"/>
          <w:szCs w:val="24"/>
        </w:rPr>
        <w:lastRenderedPageBreak/>
        <w:t xml:space="preserve">The Ranking Committee </w:t>
      </w:r>
      <w:r w:rsidRPr="001B0898">
        <w:rPr>
          <w:sz w:val="24"/>
          <w:szCs w:val="24"/>
        </w:rPr>
        <w:t>will</w:t>
      </w:r>
      <w:r w:rsidRPr="001B0898">
        <w:rPr>
          <w:color w:val="000000"/>
          <w:sz w:val="24"/>
          <w:szCs w:val="24"/>
        </w:rPr>
        <w:t xml:space="preserve"> consider the following when deciding to reallocate all or part of a renewal project:</w:t>
      </w:r>
    </w:p>
    <w:p w14:paraId="1ECC7701" w14:textId="77777777" w:rsidR="003E5863" w:rsidRPr="001B0898" w:rsidRDefault="001B0898">
      <w:pPr>
        <w:numPr>
          <w:ilvl w:val="1"/>
          <w:numId w:val="1"/>
        </w:numPr>
        <w:pBdr>
          <w:top w:val="nil"/>
          <w:left w:val="nil"/>
          <w:bottom w:val="nil"/>
          <w:right w:val="nil"/>
          <w:between w:val="nil"/>
        </w:pBdr>
        <w:spacing w:after="0" w:line="240" w:lineRule="auto"/>
        <w:rPr>
          <w:sz w:val="24"/>
          <w:szCs w:val="24"/>
        </w:rPr>
      </w:pPr>
      <w:r w:rsidRPr="001B0898">
        <w:rPr>
          <w:sz w:val="24"/>
          <w:szCs w:val="24"/>
        </w:rPr>
        <w:t>Project Performance -</w:t>
      </w:r>
      <w:r w:rsidRPr="001B0898">
        <w:rPr>
          <w:color w:val="000000"/>
          <w:sz w:val="24"/>
          <w:szCs w:val="24"/>
        </w:rPr>
        <w:t xml:space="preserve"> three years of historical data shows a trend of under-performance, a decline or improvement in performance, or any other </w:t>
      </w:r>
      <w:r w:rsidRPr="001B0898">
        <w:rPr>
          <w:sz w:val="24"/>
          <w:szCs w:val="24"/>
        </w:rPr>
        <w:t>discernible</w:t>
      </w:r>
      <w:r w:rsidRPr="001B0898">
        <w:rPr>
          <w:color w:val="000000"/>
          <w:sz w:val="24"/>
          <w:szCs w:val="24"/>
        </w:rPr>
        <w:t xml:space="preserve"> trend;</w:t>
      </w:r>
    </w:p>
    <w:p w14:paraId="24FE2939" w14:textId="77777777" w:rsidR="003E5863" w:rsidRPr="001B0898" w:rsidRDefault="001B0898">
      <w:pPr>
        <w:numPr>
          <w:ilvl w:val="1"/>
          <w:numId w:val="1"/>
        </w:numPr>
        <w:pBdr>
          <w:top w:val="nil"/>
          <w:left w:val="nil"/>
          <w:bottom w:val="nil"/>
          <w:right w:val="nil"/>
          <w:between w:val="nil"/>
        </w:pBdr>
        <w:spacing w:after="0" w:line="240" w:lineRule="auto"/>
        <w:rPr>
          <w:sz w:val="24"/>
          <w:szCs w:val="24"/>
        </w:rPr>
      </w:pPr>
      <w:r w:rsidRPr="001B0898">
        <w:rPr>
          <w:sz w:val="24"/>
          <w:szCs w:val="24"/>
        </w:rPr>
        <w:t>Community Need -</w:t>
      </w:r>
      <w:r w:rsidRPr="001B0898">
        <w:rPr>
          <w:color w:val="000000"/>
          <w:sz w:val="24"/>
          <w:szCs w:val="24"/>
        </w:rPr>
        <w:t xml:space="preserve"> </w:t>
      </w:r>
      <w:r w:rsidRPr="001B0898">
        <w:rPr>
          <w:sz w:val="24"/>
          <w:szCs w:val="24"/>
        </w:rPr>
        <w:t>other</w:t>
      </w:r>
      <w:r w:rsidRPr="001B0898">
        <w:rPr>
          <w:color w:val="000000"/>
          <w:sz w:val="24"/>
          <w:szCs w:val="24"/>
        </w:rPr>
        <w:t xml:space="preserve"> project application</w:t>
      </w:r>
      <w:r w:rsidRPr="001B0898">
        <w:rPr>
          <w:sz w:val="24"/>
          <w:szCs w:val="24"/>
        </w:rPr>
        <w:t>s</w:t>
      </w:r>
      <w:r w:rsidRPr="001B0898">
        <w:rPr>
          <w:color w:val="000000"/>
          <w:sz w:val="24"/>
          <w:szCs w:val="24"/>
        </w:rPr>
        <w:t xml:space="preserve"> have been submitted that have the potential to improve system performance, to which the reallocated funding could be allocated.</w:t>
      </w:r>
    </w:p>
    <w:p w14:paraId="45802A9A" w14:textId="77777777" w:rsidR="003E5863" w:rsidRPr="001B0898" w:rsidRDefault="001B0898">
      <w:pPr>
        <w:numPr>
          <w:ilvl w:val="0"/>
          <w:numId w:val="1"/>
        </w:numPr>
        <w:pBdr>
          <w:top w:val="nil"/>
          <w:left w:val="nil"/>
          <w:bottom w:val="nil"/>
          <w:right w:val="nil"/>
          <w:between w:val="nil"/>
        </w:pBdr>
        <w:spacing w:after="0" w:line="240" w:lineRule="auto"/>
        <w:rPr>
          <w:sz w:val="24"/>
          <w:szCs w:val="24"/>
        </w:rPr>
      </w:pPr>
      <w:r w:rsidRPr="001B0898">
        <w:rPr>
          <w:color w:val="000000"/>
          <w:sz w:val="24"/>
          <w:szCs w:val="24"/>
        </w:rPr>
        <w:t>Based on this review and analysis, the Ranking Committee may recommend involuntary r</w:t>
      </w:r>
      <w:r w:rsidRPr="001B0898">
        <w:rPr>
          <w:color w:val="000000"/>
          <w:sz w:val="24"/>
          <w:szCs w:val="24"/>
        </w:rPr>
        <w:t>eallocation of all or part of the renewal project’s grant.</w:t>
      </w:r>
    </w:p>
    <w:p w14:paraId="60EF26F1" w14:textId="77777777" w:rsidR="003E5863" w:rsidRPr="001B0898" w:rsidRDefault="001B0898">
      <w:pPr>
        <w:numPr>
          <w:ilvl w:val="0"/>
          <w:numId w:val="1"/>
        </w:numPr>
        <w:pBdr>
          <w:top w:val="nil"/>
          <w:left w:val="nil"/>
          <w:bottom w:val="nil"/>
          <w:right w:val="nil"/>
          <w:between w:val="nil"/>
        </w:pBdr>
        <w:spacing w:after="0" w:line="240" w:lineRule="auto"/>
        <w:rPr>
          <w:sz w:val="24"/>
          <w:szCs w:val="24"/>
        </w:rPr>
      </w:pPr>
      <w:r w:rsidRPr="001B0898">
        <w:rPr>
          <w:sz w:val="24"/>
          <w:szCs w:val="24"/>
        </w:rPr>
        <w:t>Funds reallocated during the application process will be added to the total available funding for other projects applications.</w:t>
      </w:r>
    </w:p>
    <w:p w14:paraId="51B5D2F3" w14:textId="77777777" w:rsidR="003E5863" w:rsidRDefault="003E5863">
      <w:pPr>
        <w:pBdr>
          <w:top w:val="nil"/>
          <w:left w:val="nil"/>
          <w:bottom w:val="nil"/>
          <w:right w:val="nil"/>
          <w:between w:val="nil"/>
        </w:pBdr>
        <w:spacing w:after="0" w:line="240" w:lineRule="auto"/>
        <w:rPr>
          <w:color w:val="000000"/>
        </w:rPr>
      </w:pPr>
    </w:p>
    <w:p w14:paraId="476AA798" w14:textId="77777777" w:rsidR="003E5863" w:rsidRDefault="003E5863">
      <w:pPr>
        <w:pBdr>
          <w:top w:val="nil"/>
          <w:left w:val="nil"/>
          <w:bottom w:val="nil"/>
          <w:right w:val="nil"/>
          <w:between w:val="nil"/>
        </w:pBdr>
        <w:spacing w:after="0" w:line="240" w:lineRule="auto"/>
        <w:rPr>
          <w:color w:val="000000"/>
          <w:u w:val="single"/>
        </w:rPr>
      </w:pPr>
    </w:p>
    <w:p w14:paraId="61AC3A99" w14:textId="77777777" w:rsidR="003E5863" w:rsidRDefault="003E5863">
      <w:pPr>
        <w:pBdr>
          <w:top w:val="nil"/>
          <w:left w:val="nil"/>
          <w:bottom w:val="nil"/>
          <w:right w:val="nil"/>
          <w:between w:val="nil"/>
        </w:pBdr>
        <w:spacing w:after="0" w:line="240" w:lineRule="auto"/>
        <w:rPr>
          <w:color w:val="FF0000"/>
        </w:rPr>
      </w:pPr>
    </w:p>
    <w:p w14:paraId="2750EB41" w14:textId="77777777" w:rsidR="003E5863" w:rsidRDefault="001B0898">
      <w:pPr>
        <w:pBdr>
          <w:top w:val="nil"/>
          <w:left w:val="nil"/>
          <w:bottom w:val="nil"/>
          <w:right w:val="nil"/>
          <w:between w:val="nil"/>
        </w:pBdr>
        <w:spacing w:after="0" w:line="240" w:lineRule="auto"/>
      </w:pPr>
      <w:r>
        <w:br w:type="page"/>
      </w:r>
    </w:p>
    <w:p w14:paraId="665DF720" w14:textId="77777777" w:rsidR="003E5863" w:rsidRDefault="001B0898">
      <w:pPr>
        <w:pBdr>
          <w:top w:val="nil"/>
          <w:left w:val="nil"/>
          <w:bottom w:val="nil"/>
          <w:right w:val="nil"/>
          <w:between w:val="nil"/>
        </w:pBdr>
        <w:spacing w:after="0" w:line="240" w:lineRule="auto"/>
        <w:jc w:val="center"/>
        <w:rPr>
          <w:b/>
          <w:sz w:val="28"/>
          <w:szCs w:val="28"/>
        </w:rPr>
      </w:pPr>
      <w:r>
        <w:rPr>
          <w:b/>
          <w:sz w:val="28"/>
          <w:szCs w:val="28"/>
        </w:rPr>
        <w:lastRenderedPageBreak/>
        <w:t>GLOSSARY OF TERMS</w:t>
      </w:r>
    </w:p>
    <w:p w14:paraId="3DDE70A6" w14:textId="77777777" w:rsidR="003E5863" w:rsidRDefault="003E5863">
      <w:pPr>
        <w:pBdr>
          <w:top w:val="nil"/>
          <w:left w:val="nil"/>
          <w:bottom w:val="nil"/>
          <w:right w:val="nil"/>
          <w:between w:val="nil"/>
        </w:pBdr>
        <w:spacing w:after="0" w:line="240" w:lineRule="auto"/>
        <w:jc w:val="center"/>
        <w:rPr>
          <w:b/>
          <w:sz w:val="28"/>
          <w:szCs w:val="28"/>
        </w:rPr>
      </w:pPr>
    </w:p>
    <w:p w14:paraId="19946AF8" w14:textId="77777777" w:rsidR="003E5863" w:rsidRPr="00EC0726" w:rsidRDefault="001B0898">
      <w:pPr>
        <w:spacing w:after="0" w:line="240" w:lineRule="auto"/>
        <w:rPr>
          <w:sz w:val="24"/>
          <w:szCs w:val="24"/>
        </w:rPr>
      </w:pPr>
      <w:r w:rsidRPr="00EC0726">
        <w:rPr>
          <w:b/>
          <w:sz w:val="24"/>
          <w:szCs w:val="24"/>
        </w:rPr>
        <w:t>Application Cycle</w:t>
      </w:r>
      <w:r w:rsidRPr="00EC0726">
        <w:rPr>
          <w:sz w:val="24"/>
          <w:szCs w:val="24"/>
        </w:rPr>
        <w:t>- The first date the funds are made available from a local, state or federal entity for which an organization can apply.  The application cycle ends with the submission deadline (date and time) established by the granting entity.</w:t>
      </w:r>
    </w:p>
    <w:p w14:paraId="6DD87DB0" w14:textId="77777777" w:rsidR="003E5863" w:rsidRPr="00EC0726" w:rsidRDefault="003E5863">
      <w:pPr>
        <w:spacing w:after="0" w:line="240" w:lineRule="auto"/>
        <w:rPr>
          <w:b/>
          <w:sz w:val="24"/>
          <w:szCs w:val="24"/>
        </w:rPr>
      </w:pPr>
    </w:p>
    <w:p w14:paraId="255AC1B9" w14:textId="604BEF77" w:rsidR="003E5863" w:rsidRPr="00EC0726" w:rsidRDefault="001B0898">
      <w:pPr>
        <w:spacing w:after="0" w:line="240" w:lineRule="auto"/>
        <w:rPr>
          <w:sz w:val="24"/>
          <w:szCs w:val="24"/>
        </w:rPr>
      </w:pPr>
      <w:r w:rsidRPr="00EC0726">
        <w:rPr>
          <w:b/>
          <w:sz w:val="24"/>
          <w:szCs w:val="24"/>
        </w:rPr>
        <w:t xml:space="preserve">ARD - </w:t>
      </w:r>
      <w:r w:rsidRPr="00EC0726">
        <w:rPr>
          <w:b/>
          <w:sz w:val="24"/>
          <w:szCs w:val="24"/>
        </w:rPr>
        <w:t>Annual Renewal Dem</w:t>
      </w:r>
      <w:r w:rsidRPr="00EC0726">
        <w:rPr>
          <w:b/>
          <w:sz w:val="24"/>
          <w:szCs w:val="24"/>
        </w:rPr>
        <w:t>and</w:t>
      </w:r>
      <w:r w:rsidRPr="00EC0726">
        <w:rPr>
          <w:sz w:val="24"/>
          <w:szCs w:val="24"/>
        </w:rPr>
        <w:t xml:space="preserve"> - The ARD is the sum of all the existing projects available for renewal in an application cycle.  Additional funds may be added to the ARD after an evaluation by HUD (pro rata need), plus bonus funds and CoC planning grant funds.</w:t>
      </w:r>
    </w:p>
    <w:p w14:paraId="25C6A88E" w14:textId="77777777" w:rsidR="003E5863" w:rsidRPr="00EC0726" w:rsidRDefault="003E5863">
      <w:pPr>
        <w:pBdr>
          <w:top w:val="nil"/>
          <w:left w:val="nil"/>
          <w:bottom w:val="nil"/>
          <w:right w:val="nil"/>
          <w:between w:val="nil"/>
        </w:pBdr>
        <w:spacing w:after="0" w:line="240" w:lineRule="auto"/>
        <w:rPr>
          <w:sz w:val="24"/>
          <w:szCs w:val="24"/>
        </w:rPr>
      </w:pPr>
    </w:p>
    <w:p w14:paraId="513D1AF7" w14:textId="77777777" w:rsidR="003E5863" w:rsidRPr="00EC0726" w:rsidRDefault="001B0898">
      <w:pPr>
        <w:pBdr>
          <w:top w:val="nil"/>
          <w:left w:val="nil"/>
          <w:bottom w:val="nil"/>
          <w:right w:val="nil"/>
          <w:between w:val="nil"/>
        </w:pBdr>
        <w:spacing w:after="0" w:line="240" w:lineRule="auto"/>
        <w:rPr>
          <w:sz w:val="24"/>
          <w:szCs w:val="24"/>
        </w:rPr>
      </w:pPr>
      <w:r w:rsidRPr="00EC0726">
        <w:rPr>
          <w:b/>
          <w:sz w:val="24"/>
          <w:szCs w:val="24"/>
        </w:rPr>
        <w:t>Collaborative Applica</w:t>
      </w:r>
      <w:r w:rsidRPr="00EC0726">
        <w:rPr>
          <w:b/>
          <w:sz w:val="24"/>
          <w:szCs w:val="24"/>
        </w:rPr>
        <w:t>nt</w:t>
      </w:r>
      <w:r w:rsidRPr="00EC0726">
        <w:rPr>
          <w:sz w:val="24"/>
          <w:szCs w:val="24"/>
        </w:rPr>
        <w:t xml:space="preserve"> – NC 506 Homeless Continuum of Care – </w:t>
      </w:r>
      <w:r w:rsidRPr="00EC0726">
        <w:rPr>
          <w:sz w:val="24"/>
          <w:szCs w:val="24"/>
        </w:rPr>
        <w:t>The entity designated by the Continuum of Care to coordinate the annual application for HUD Continuum of Care program funding.  The Tri-HIC collaborative applicant is the Cape Fear Council of Governments.</w:t>
      </w:r>
    </w:p>
    <w:p w14:paraId="3040453B" w14:textId="77777777" w:rsidR="003E5863" w:rsidRPr="00EC0726" w:rsidRDefault="003E5863">
      <w:pPr>
        <w:pBdr>
          <w:top w:val="nil"/>
          <w:left w:val="nil"/>
          <w:bottom w:val="nil"/>
          <w:right w:val="nil"/>
          <w:between w:val="nil"/>
        </w:pBdr>
        <w:spacing w:after="0" w:line="240" w:lineRule="auto"/>
        <w:rPr>
          <w:sz w:val="24"/>
          <w:szCs w:val="24"/>
        </w:rPr>
      </w:pPr>
    </w:p>
    <w:p w14:paraId="2CACB78F" w14:textId="5C2E9939" w:rsidR="003E5863" w:rsidRDefault="001B0898">
      <w:pPr>
        <w:pBdr>
          <w:top w:val="nil"/>
          <w:left w:val="nil"/>
          <w:bottom w:val="nil"/>
          <w:right w:val="nil"/>
          <w:between w:val="nil"/>
        </w:pBdr>
        <w:spacing w:after="0" w:line="240" w:lineRule="auto"/>
        <w:rPr>
          <w:b/>
          <w:color w:val="6D9EEB"/>
          <w:sz w:val="24"/>
          <w:szCs w:val="24"/>
        </w:rPr>
      </w:pPr>
      <w:r w:rsidRPr="00EC0726">
        <w:rPr>
          <w:b/>
          <w:sz w:val="24"/>
          <w:szCs w:val="24"/>
        </w:rPr>
        <w:t xml:space="preserve">Community Health </w:t>
      </w:r>
      <w:r w:rsidRPr="00EC0726">
        <w:rPr>
          <w:b/>
          <w:sz w:val="24"/>
          <w:szCs w:val="24"/>
        </w:rPr>
        <w:t xml:space="preserve">Assessment </w:t>
      </w:r>
      <w:r w:rsidRPr="00EC0726">
        <w:rPr>
          <w:sz w:val="24"/>
          <w:szCs w:val="24"/>
        </w:rPr>
        <w:t xml:space="preserve">– </w:t>
      </w:r>
      <w:r w:rsidRPr="00EC0726">
        <w:rPr>
          <w:sz w:val="24"/>
          <w:szCs w:val="24"/>
        </w:rPr>
        <w:t xml:space="preserve">A systematic process to identify and analyze community health needs conducted by each county’s health department in partnership with the local hospital. The process provides a way for the community to prioritize health needs </w:t>
      </w:r>
      <w:r w:rsidRPr="00EC0726">
        <w:rPr>
          <w:sz w:val="24"/>
          <w:szCs w:val="24"/>
        </w:rPr>
        <w:t xml:space="preserve">and ways to address those needs. See the following for an example: </w:t>
      </w:r>
      <w:hyperlink r:id="rId9">
        <w:r>
          <w:rPr>
            <w:color w:val="1155CC"/>
            <w:sz w:val="24"/>
            <w:szCs w:val="24"/>
            <w:u w:val="single"/>
          </w:rPr>
          <w:t>https://health.nhcgov.com/wp-content/uploads/2020/10/FINAL-NHC-2019-CHA.</w:t>
        </w:r>
      </w:hyperlink>
      <w:r>
        <w:rPr>
          <w:b/>
          <w:color w:val="6D9EEB"/>
          <w:sz w:val="24"/>
          <w:szCs w:val="24"/>
        </w:rPr>
        <w:t>pdf</w:t>
      </w:r>
    </w:p>
    <w:p w14:paraId="790ABB98" w14:textId="77777777" w:rsidR="003E5863" w:rsidRDefault="003E5863">
      <w:pPr>
        <w:pBdr>
          <w:top w:val="nil"/>
          <w:left w:val="nil"/>
          <w:bottom w:val="nil"/>
          <w:right w:val="nil"/>
          <w:between w:val="nil"/>
        </w:pBdr>
        <w:spacing w:after="0" w:line="240" w:lineRule="auto"/>
        <w:rPr>
          <w:b/>
          <w:sz w:val="24"/>
          <w:szCs w:val="24"/>
        </w:rPr>
      </w:pPr>
    </w:p>
    <w:p w14:paraId="2BCB9D79" w14:textId="77777777" w:rsidR="003E5863" w:rsidRDefault="001B0898">
      <w:pPr>
        <w:spacing w:after="0" w:line="240" w:lineRule="auto"/>
        <w:rPr>
          <w:rFonts w:ascii="Times New Roman" w:eastAsia="Times New Roman" w:hAnsi="Times New Roman" w:cs="Times New Roman"/>
          <w:sz w:val="24"/>
          <w:szCs w:val="24"/>
        </w:rPr>
      </w:pPr>
      <w:r w:rsidRPr="00EC0726">
        <w:rPr>
          <w:rFonts w:asciiTheme="minorHAnsi" w:hAnsiTheme="minorHAnsi" w:cstheme="minorHAnsi"/>
          <w:b/>
          <w:sz w:val="24"/>
          <w:szCs w:val="24"/>
        </w:rPr>
        <w:t>Continuum of Care</w:t>
      </w:r>
      <w:r w:rsidRPr="00EC0726">
        <w:rPr>
          <w:rFonts w:asciiTheme="minorHAnsi" w:hAnsiTheme="minorHAnsi" w:cstheme="minorHAnsi"/>
          <w:b/>
          <w:sz w:val="24"/>
          <w:szCs w:val="24"/>
        </w:rPr>
        <w:t xml:space="preserve"> (CoC) Board</w:t>
      </w:r>
      <w:r w:rsidRPr="00EC0726">
        <w:rPr>
          <w:rFonts w:asciiTheme="minorHAnsi" w:hAnsiTheme="minorHAnsi" w:cstheme="minorHAnsi"/>
          <w:sz w:val="24"/>
          <w:szCs w:val="24"/>
        </w:rPr>
        <w:t xml:space="preserve"> - </w:t>
      </w:r>
      <w:r w:rsidRPr="00EC0726">
        <w:rPr>
          <w:rFonts w:asciiTheme="minorHAnsi" w:eastAsia="Times New Roman" w:hAnsiTheme="minorHAnsi" w:cstheme="minorHAnsi"/>
          <w:sz w:val="24"/>
          <w:szCs w:val="24"/>
        </w:rPr>
        <w:t>Tri-HIC will elect a CoC Board to serve as its governing body, its primary duty is to ensure the orderly operations of the CoC.  The CoC Board shall have the power to act on behalf of and in the best interest of the Tri-HIC. The Board consists of no less t</w:t>
      </w:r>
      <w:r w:rsidRPr="00EC0726">
        <w:rPr>
          <w:rFonts w:asciiTheme="minorHAnsi" w:eastAsia="Times New Roman" w:hAnsiTheme="minorHAnsi" w:cstheme="minorHAnsi"/>
          <w:sz w:val="24"/>
          <w:szCs w:val="24"/>
        </w:rPr>
        <w:t>han 15 and no more than 21 members, including 5 permanently assigned seats, with the remaining seats filled through an election process</w:t>
      </w:r>
      <w:r>
        <w:rPr>
          <w:rFonts w:ascii="Times New Roman" w:eastAsia="Times New Roman" w:hAnsi="Times New Roman" w:cs="Times New Roman"/>
          <w:sz w:val="24"/>
          <w:szCs w:val="24"/>
        </w:rPr>
        <w:t>.</w:t>
      </w:r>
    </w:p>
    <w:p w14:paraId="3D64EA1F" w14:textId="77777777" w:rsidR="003E5863" w:rsidRDefault="003E5863">
      <w:pPr>
        <w:spacing w:after="0" w:line="240" w:lineRule="auto"/>
        <w:rPr>
          <w:b/>
          <w:sz w:val="24"/>
          <w:szCs w:val="24"/>
        </w:rPr>
      </w:pPr>
    </w:p>
    <w:p w14:paraId="637685D2" w14:textId="77777777" w:rsidR="003E5863" w:rsidRDefault="001B0898">
      <w:pPr>
        <w:spacing w:after="0" w:line="240" w:lineRule="auto"/>
        <w:rPr>
          <w:b/>
          <w:sz w:val="24"/>
          <w:szCs w:val="24"/>
        </w:rPr>
      </w:pPr>
      <w:r>
        <w:rPr>
          <w:b/>
          <w:sz w:val="24"/>
          <w:szCs w:val="24"/>
        </w:rPr>
        <w:t xml:space="preserve">DV - Domestic Violence </w:t>
      </w:r>
    </w:p>
    <w:p w14:paraId="54F8ABF8" w14:textId="77777777" w:rsidR="003E5863" w:rsidRDefault="003E5863">
      <w:pPr>
        <w:spacing w:after="0" w:line="240" w:lineRule="auto"/>
        <w:rPr>
          <w:b/>
          <w:color w:val="FF0000"/>
          <w:sz w:val="24"/>
          <w:szCs w:val="24"/>
        </w:rPr>
      </w:pPr>
    </w:p>
    <w:p w14:paraId="62EA2B66" w14:textId="77777777" w:rsidR="003E5863" w:rsidRPr="00EC0726" w:rsidRDefault="001B0898">
      <w:pPr>
        <w:spacing w:after="0" w:line="240" w:lineRule="auto"/>
        <w:rPr>
          <w:sz w:val="24"/>
          <w:szCs w:val="24"/>
        </w:rPr>
      </w:pPr>
      <w:r w:rsidRPr="00EC0726">
        <w:rPr>
          <w:b/>
          <w:sz w:val="24"/>
          <w:szCs w:val="24"/>
        </w:rPr>
        <w:t>eLoccs</w:t>
      </w:r>
      <w:r w:rsidRPr="00EC0726">
        <w:rPr>
          <w:sz w:val="24"/>
          <w:szCs w:val="24"/>
        </w:rPr>
        <w:t xml:space="preserve"> - The Electronic Line of Credit Control System - the financial management system for H</w:t>
      </w:r>
      <w:r w:rsidRPr="00EC0726">
        <w:rPr>
          <w:sz w:val="24"/>
          <w:szCs w:val="24"/>
        </w:rPr>
        <w:t>UD grants.</w:t>
      </w:r>
    </w:p>
    <w:p w14:paraId="4C8FCDE2" w14:textId="77777777" w:rsidR="003E5863" w:rsidRPr="00EC0726" w:rsidRDefault="003E5863">
      <w:pPr>
        <w:spacing w:after="0" w:line="240" w:lineRule="auto"/>
        <w:rPr>
          <w:sz w:val="24"/>
          <w:szCs w:val="24"/>
        </w:rPr>
      </w:pPr>
    </w:p>
    <w:p w14:paraId="43DA2B2C" w14:textId="347EBD0F" w:rsidR="003E5863" w:rsidRPr="00EC0726" w:rsidRDefault="001B0898">
      <w:pPr>
        <w:spacing w:after="0" w:line="240" w:lineRule="auto"/>
        <w:rPr>
          <w:sz w:val="24"/>
          <w:szCs w:val="24"/>
        </w:rPr>
      </w:pPr>
      <w:r w:rsidRPr="00EC0726">
        <w:rPr>
          <w:b/>
          <w:sz w:val="24"/>
          <w:szCs w:val="24"/>
        </w:rPr>
        <w:t xml:space="preserve">Grant Cycle </w:t>
      </w:r>
      <w:r w:rsidRPr="00EC0726">
        <w:rPr>
          <w:sz w:val="24"/>
          <w:szCs w:val="24"/>
        </w:rPr>
        <w:t>- A Grant Cycle begins upon the execution of a Grant Agreement with the funding agency and ends with the expiration of the grant, including any extensions.</w:t>
      </w:r>
      <w:r w:rsidRPr="00EC0726">
        <w:rPr>
          <w:sz w:val="24"/>
          <w:szCs w:val="24"/>
        </w:rPr>
        <w:t xml:space="preserve"> </w:t>
      </w:r>
    </w:p>
    <w:p w14:paraId="23B7092F" w14:textId="77777777" w:rsidR="003E5863" w:rsidRPr="00EC0726" w:rsidRDefault="003E5863">
      <w:pPr>
        <w:spacing w:after="0" w:line="240" w:lineRule="auto"/>
        <w:rPr>
          <w:b/>
          <w:sz w:val="24"/>
          <w:szCs w:val="24"/>
        </w:rPr>
      </w:pPr>
    </w:p>
    <w:p w14:paraId="3FE80D84" w14:textId="77777777" w:rsidR="003E5863" w:rsidRDefault="001B0898">
      <w:pPr>
        <w:spacing w:after="0" w:line="240" w:lineRule="auto"/>
        <w:rPr>
          <w:sz w:val="24"/>
          <w:szCs w:val="24"/>
        </w:rPr>
      </w:pPr>
      <w:r>
        <w:rPr>
          <w:b/>
          <w:sz w:val="24"/>
          <w:szCs w:val="24"/>
        </w:rPr>
        <w:t>HMIS - Homeless Management Information System</w:t>
      </w:r>
      <w:r>
        <w:rPr>
          <w:sz w:val="24"/>
          <w:szCs w:val="24"/>
        </w:rPr>
        <w:t xml:space="preserve"> - The database used to track individuals experiencing homelessness. It tracks data related to programs that house said individuals and can be accessed by service providers trained on the system.</w:t>
      </w:r>
    </w:p>
    <w:p w14:paraId="445B58B2" w14:textId="77777777" w:rsidR="003E5863" w:rsidRDefault="003E5863">
      <w:pPr>
        <w:pBdr>
          <w:top w:val="nil"/>
          <w:left w:val="nil"/>
          <w:bottom w:val="nil"/>
          <w:right w:val="nil"/>
          <w:between w:val="nil"/>
        </w:pBdr>
        <w:spacing w:after="0" w:line="240" w:lineRule="auto"/>
        <w:rPr>
          <w:b/>
          <w:sz w:val="24"/>
          <w:szCs w:val="24"/>
        </w:rPr>
      </w:pPr>
    </w:p>
    <w:p w14:paraId="7F667309" w14:textId="7D27B46C" w:rsidR="003E5863" w:rsidRDefault="001B0898">
      <w:pPr>
        <w:pBdr>
          <w:top w:val="nil"/>
          <w:left w:val="nil"/>
          <w:bottom w:val="nil"/>
          <w:right w:val="nil"/>
          <w:between w:val="nil"/>
        </w:pBdr>
        <w:spacing w:after="0" w:line="240" w:lineRule="auto"/>
        <w:rPr>
          <w:sz w:val="24"/>
          <w:szCs w:val="24"/>
        </w:rPr>
      </w:pPr>
      <w:r>
        <w:rPr>
          <w:b/>
          <w:sz w:val="24"/>
          <w:szCs w:val="24"/>
        </w:rPr>
        <w:t>Homeless Conti</w:t>
      </w:r>
      <w:r>
        <w:rPr>
          <w:b/>
          <w:sz w:val="24"/>
          <w:szCs w:val="24"/>
        </w:rPr>
        <w:t xml:space="preserve">nuum of Care (CoC) - </w:t>
      </w:r>
      <w:r>
        <w:rPr>
          <w:sz w:val="24"/>
          <w:szCs w:val="24"/>
        </w:rPr>
        <w:t>The HUD designated oversight body for the homeless service system of a particular region or community. The Tri County Homeless Interagency Council (Tri-HIC) is the HUD designated Continuum of Care (CoC) for Brunswick, Pender and New H</w:t>
      </w:r>
      <w:r>
        <w:rPr>
          <w:sz w:val="24"/>
          <w:szCs w:val="24"/>
        </w:rPr>
        <w:t>anover Counties.</w:t>
      </w:r>
    </w:p>
    <w:p w14:paraId="18582053" w14:textId="77777777" w:rsidR="003E5863" w:rsidRDefault="003E5863">
      <w:pPr>
        <w:pBdr>
          <w:top w:val="nil"/>
          <w:left w:val="nil"/>
          <w:bottom w:val="nil"/>
          <w:right w:val="nil"/>
          <w:between w:val="nil"/>
        </w:pBdr>
        <w:spacing w:after="0" w:line="240" w:lineRule="auto"/>
        <w:rPr>
          <w:b/>
          <w:sz w:val="24"/>
          <w:szCs w:val="24"/>
        </w:rPr>
      </w:pPr>
    </w:p>
    <w:p w14:paraId="07DCD3F7" w14:textId="77777777" w:rsidR="003E5863" w:rsidRDefault="001B0898">
      <w:pPr>
        <w:pBdr>
          <w:top w:val="nil"/>
          <w:left w:val="nil"/>
          <w:bottom w:val="nil"/>
          <w:right w:val="nil"/>
          <w:between w:val="nil"/>
        </w:pBdr>
        <w:spacing w:after="0" w:line="240" w:lineRule="auto"/>
        <w:rPr>
          <w:sz w:val="24"/>
          <w:szCs w:val="24"/>
        </w:rPr>
      </w:pPr>
      <w:r>
        <w:rPr>
          <w:b/>
          <w:sz w:val="24"/>
          <w:szCs w:val="24"/>
        </w:rPr>
        <w:t xml:space="preserve">HUD- </w:t>
      </w:r>
      <w:r>
        <w:rPr>
          <w:sz w:val="24"/>
          <w:szCs w:val="24"/>
        </w:rPr>
        <w:t>The United States Department of Housing and Urban Development</w:t>
      </w:r>
    </w:p>
    <w:p w14:paraId="3DBC6CF8" w14:textId="77777777" w:rsidR="003E5863" w:rsidRDefault="003E5863">
      <w:pPr>
        <w:pBdr>
          <w:top w:val="nil"/>
          <w:left w:val="nil"/>
          <w:bottom w:val="nil"/>
          <w:right w:val="nil"/>
          <w:between w:val="nil"/>
        </w:pBdr>
        <w:spacing w:after="0" w:line="240" w:lineRule="auto"/>
        <w:rPr>
          <w:sz w:val="24"/>
          <w:szCs w:val="24"/>
        </w:rPr>
      </w:pPr>
    </w:p>
    <w:p w14:paraId="00AD2F74" w14:textId="77777777" w:rsidR="003E5863" w:rsidRDefault="001B0898">
      <w:pPr>
        <w:pBdr>
          <w:top w:val="nil"/>
          <w:left w:val="nil"/>
          <w:bottom w:val="nil"/>
          <w:right w:val="nil"/>
          <w:between w:val="nil"/>
        </w:pBdr>
        <w:spacing w:after="0" w:line="240" w:lineRule="auto"/>
        <w:rPr>
          <w:sz w:val="24"/>
          <w:szCs w:val="24"/>
        </w:rPr>
      </w:pPr>
      <w:r>
        <w:rPr>
          <w:b/>
          <w:sz w:val="24"/>
          <w:szCs w:val="24"/>
        </w:rPr>
        <w:t>New Project</w:t>
      </w:r>
      <w:r>
        <w:rPr>
          <w:sz w:val="24"/>
          <w:szCs w:val="24"/>
        </w:rPr>
        <w:t xml:space="preserve"> - A project </w:t>
      </w:r>
      <w:r>
        <w:rPr>
          <w:i/>
          <w:sz w:val="24"/>
          <w:szCs w:val="24"/>
        </w:rPr>
        <w:t>not currently</w:t>
      </w:r>
      <w:r>
        <w:rPr>
          <w:sz w:val="24"/>
          <w:szCs w:val="24"/>
        </w:rPr>
        <w:t xml:space="preserve"> funded, even if it has been funded in the past.</w:t>
      </w:r>
    </w:p>
    <w:p w14:paraId="0F0221F3" w14:textId="77777777" w:rsidR="003E5863" w:rsidRDefault="003E5863">
      <w:pPr>
        <w:pBdr>
          <w:top w:val="nil"/>
          <w:left w:val="nil"/>
          <w:bottom w:val="nil"/>
          <w:right w:val="nil"/>
          <w:between w:val="nil"/>
        </w:pBdr>
        <w:spacing w:after="0" w:line="240" w:lineRule="auto"/>
        <w:rPr>
          <w:color w:val="FF0000"/>
          <w:sz w:val="24"/>
          <w:szCs w:val="24"/>
        </w:rPr>
      </w:pPr>
    </w:p>
    <w:p w14:paraId="5FDD3294" w14:textId="77777777" w:rsidR="003E5863" w:rsidRDefault="001B0898">
      <w:pPr>
        <w:pBdr>
          <w:top w:val="nil"/>
          <w:left w:val="nil"/>
          <w:bottom w:val="nil"/>
          <w:right w:val="nil"/>
          <w:between w:val="nil"/>
        </w:pBdr>
        <w:spacing w:after="0" w:line="240" w:lineRule="auto"/>
        <w:rPr>
          <w:color w:val="FF0000"/>
          <w:sz w:val="24"/>
          <w:szCs w:val="24"/>
        </w:rPr>
      </w:pPr>
      <w:r w:rsidRPr="00EC0726">
        <w:rPr>
          <w:b/>
          <w:sz w:val="24"/>
          <w:szCs w:val="24"/>
        </w:rPr>
        <w:lastRenderedPageBreak/>
        <w:t xml:space="preserve">Point-in-Time </w:t>
      </w:r>
      <w:r w:rsidRPr="00EC0726">
        <w:rPr>
          <w:b/>
          <w:sz w:val="24"/>
          <w:szCs w:val="24"/>
        </w:rPr>
        <w:t>Count</w:t>
      </w:r>
      <w:r w:rsidRPr="00EC0726">
        <w:rPr>
          <w:sz w:val="24"/>
          <w:szCs w:val="24"/>
        </w:rPr>
        <w:t xml:space="preserve"> – An </w:t>
      </w:r>
      <w:r w:rsidRPr="00EC0726">
        <w:rPr>
          <w:sz w:val="24"/>
          <w:szCs w:val="24"/>
        </w:rPr>
        <w:t>a</w:t>
      </w:r>
      <w:r w:rsidRPr="00EC0726">
        <w:rPr>
          <w:sz w:val="24"/>
          <w:szCs w:val="24"/>
        </w:rPr>
        <w:t>nnual count</w:t>
      </w:r>
      <w:r w:rsidRPr="00EC0726">
        <w:rPr>
          <w:sz w:val="24"/>
          <w:szCs w:val="24"/>
        </w:rPr>
        <w:t xml:space="preserve"> of sheltered and unsheltered people in the Co</w:t>
      </w:r>
      <w:r w:rsidRPr="00EC0726">
        <w:rPr>
          <w:sz w:val="24"/>
          <w:szCs w:val="24"/>
        </w:rPr>
        <w:t xml:space="preserve">C’s designated catchment area. HUD requires an annual count to be conducted during the last 10 days of January each year.  See:  </w:t>
      </w:r>
      <w:hyperlink r:id="rId10">
        <w:r>
          <w:rPr>
            <w:color w:val="1155CC"/>
            <w:sz w:val="24"/>
            <w:szCs w:val="24"/>
            <w:u w:val="single"/>
          </w:rPr>
          <w:t>Data - Cape Fear Council of Governments (capefearcog.org)</w:t>
        </w:r>
      </w:hyperlink>
    </w:p>
    <w:p w14:paraId="43EA5229" w14:textId="77777777" w:rsidR="003E5863" w:rsidRDefault="003E5863">
      <w:pPr>
        <w:pBdr>
          <w:top w:val="nil"/>
          <w:left w:val="nil"/>
          <w:bottom w:val="nil"/>
          <w:right w:val="nil"/>
          <w:between w:val="nil"/>
        </w:pBdr>
        <w:spacing w:after="0" w:line="240" w:lineRule="auto"/>
        <w:rPr>
          <w:color w:val="FF0000"/>
          <w:sz w:val="24"/>
          <w:szCs w:val="24"/>
        </w:rPr>
      </w:pPr>
    </w:p>
    <w:p w14:paraId="0F5ED0C1" w14:textId="77419A7A" w:rsidR="003E5863" w:rsidRPr="00EC0726" w:rsidRDefault="001B0898">
      <w:pPr>
        <w:pBdr>
          <w:top w:val="nil"/>
          <w:left w:val="nil"/>
          <w:bottom w:val="nil"/>
          <w:right w:val="nil"/>
          <w:between w:val="nil"/>
        </w:pBdr>
        <w:spacing w:after="0" w:line="240" w:lineRule="auto"/>
        <w:rPr>
          <w:sz w:val="24"/>
          <w:szCs w:val="24"/>
        </w:rPr>
      </w:pPr>
      <w:r w:rsidRPr="00EC0726">
        <w:rPr>
          <w:b/>
          <w:sz w:val="24"/>
          <w:szCs w:val="24"/>
        </w:rPr>
        <w:t>RFP</w:t>
      </w:r>
      <w:r w:rsidRPr="00EC0726">
        <w:rPr>
          <w:sz w:val="24"/>
          <w:szCs w:val="24"/>
        </w:rPr>
        <w:t xml:space="preserve"> - </w:t>
      </w:r>
      <w:r w:rsidRPr="00EC0726">
        <w:rPr>
          <w:b/>
          <w:sz w:val="24"/>
          <w:szCs w:val="24"/>
        </w:rPr>
        <w:t xml:space="preserve">Request for Proposal </w:t>
      </w:r>
    </w:p>
    <w:p w14:paraId="437B3822" w14:textId="77777777" w:rsidR="003E5863" w:rsidRDefault="003E5863">
      <w:pPr>
        <w:pBdr>
          <w:top w:val="nil"/>
          <w:left w:val="nil"/>
          <w:bottom w:val="nil"/>
          <w:right w:val="nil"/>
          <w:between w:val="nil"/>
        </w:pBdr>
        <w:spacing w:after="0" w:line="240" w:lineRule="auto"/>
        <w:rPr>
          <w:color w:val="FF0000"/>
          <w:sz w:val="24"/>
          <w:szCs w:val="24"/>
        </w:rPr>
      </w:pPr>
    </w:p>
    <w:p w14:paraId="692536C8" w14:textId="2AD03547" w:rsidR="003E5863" w:rsidRDefault="001B0898">
      <w:pPr>
        <w:spacing w:after="0" w:line="240" w:lineRule="auto"/>
        <w:rPr>
          <w:sz w:val="24"/>
          <w:szCs w:val="24"/>
        </w:rPr>
      </w:pPr>
      <w:r>
        <w:rPr>
          <w:b/>
          <w:sz w:val="24"/>
          <w:szCs w:val="24"/>
        </w:rPr>
        <w:t>Renewal Project</w:t>
      </w:r>
      <w:r>
        <w:rPr>
          <w:sz w:val="24"/>
          <w:szCs w:val="24"/>
        </w:rPr>
        <w:t xml:space="preserve"> - A project that is </w:t>
      </w:r>
      <w:r>
        <w:rPr>
          <w:i/>
          <w:sz w:val="24"/>
          <w:szCs w:val="24"/>
        </w:rPr>
        <w:t>currently</w:t>
      </w:r>
      <w:r>
        <w:rPr>
          <w:sz w:val="24"/>
          <w:szCs w:val="24"/>
        </w:rPr>
        <w:t xml:space="preserve"> funded </w:t>
      </w:r>
      <w:r>
        <w:rPr>
          <w:sz w:val="24"/>
          <w:szCs w:val="24"/>
        </w:rPr>
        <w:t>and has applied to renew its grant funding.</w:t>
      </w:r>
    </w:p>
    <w:p w14:paraId="53B38CF8" w14:textId="77777777" w:rsidR="003E5863" w:rsidRDefault="003E5863">
      <w:pPr>
        <w:pBdr>
          <w:top w:val="nil"/>
          <w:left w:val="nil"/>
          <w:bottom w:val="nil"/>
          <w:right w:val="nil"/>
          <w:between w:val="nil"/>
        </w:pBdr>
        <w:spacing w:after="0" w:line="240" w:lineRule="auto"/>
        <w:rPr>
          <w:color w:val="FF0000"/>
          <w:sz w:val="24"/>
          <w:szCs w:val="24"/>
        </w:rPr>
      </w:pPr>
    </w:p>
    <w:p w14:paraId="2A33D8AB" w14:textId="77777777" w:rsidR="003E5863" w:rsidRDefault="001B0898">
      <w:pPr>
        <w:pBdr>
          <w:top w:val="nil"/>
          <w:left w:val="nil"/>
          <w:bottom w:val="nil"/>
          <w:right w:val="nil"/>
          <w:between w:val="nil"/>
        </w:pBdr>
        <w:spacing w:after="0" w:line="240" w:lineRule="auto"/>
        <w:rPr>
          <w:sz w:val="24"/>
          <w:szCs w:val="24"/>
        </w:rPr>
      </w:pPr>
      <w:r>
        <w:rPr>
          <w:sz w:val="24"/>
          <w:szCs w:val="24"/>
        </w:rPr>
        <w:t xml:space="preserve"> </w:t>
      </w:r>
    </w:p>
    <w:p w14:paraId="220BD20B" w14:textId="77777777" w:rsidR="003E5863" w:rsidRDefault="003E5863">
      <w:pPr>
        <w:pBdr>
          <w:top w:val="nil"/>
          <w:left w:val="nil"/>
          <w:bottom w:val="nil"/>
          <w:right w:val="nil"/>
          <w:between w:val="nil"/>
        </w:pBdr>
        <w:spacing w:after="0" w:line="240" w:lineRule="auto"/>
        <w:rPr>
          <w:sz w:val="24"/>
          <w:szCs w:val="24"/>
        </w:rPr>
      </w:pPr>
    </w:p>
    <w:sectPr w:rsidR="003E5863" w:rsidSect="003C237C">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479B" w14:textId="77777777" w:rsidR="00000000" w:rsidRDefault="001B0898">
      <w:pPr>
        <w:spacing w:after="0" w:line="240" w:lineRule="auto"/>
      </w:pPr>
      <w:r>
        <w:separator/>
      </w:r>
    </w:p>
  </w:endnote>
  <w:endnote w:type="continuationSeparator" w:id="0">
    <w:p w14:paraId="4D802F58" w14:textId="77777777" w:rsidR="00000000" w:rsidRDefault="001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DE48" w14:textId="77777777" w:rsidR="003E5863" w:rsidRDefault="003E586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59174"/>
      <w:docPartObj>
        <w:docPartGallery w:val="Page Numbers (Bottom of Page)"/>
        <w:docPartUnique/>
      </w:docPartObj>
    </w:sdtPr>
    <w:sdtEndPr>
      <w:rPr>
        <w:noProof/>
      </w:rPr>
    </w:sdtEndPr>
    <w:sdtContent>
      <w:p w14:paraId="2138ACAA" w14:textId="492DDA6B" w:rsidR="0022464B" w:rsidRDefault="0022464B">
        <w:pPr>
          <w:pStyle w:val="Footer"/>
        </w:pPr>
        <w:r>
          <w:fldChar w:fldCharType="begin"/>
        </w:r>
        <w:r>
          <w:instrText xml:space="preserve"> PAGE   \* MERGEFORMAT </w:instrText>
        </w:r>
        <w:r>
          <w:fldChar w:fldCharType="separate"/>
        </w:r>
        <w:r>
          <w:rPr>
            <w:noProof/>
          </w:rPr>
          <w:t>2</w:t>
        </w:r>
        <w:r>
          <w:rPr>
            <w:noProof/>
          </w:rPr>
          <w:fldChar w:fldCharType="end"/>
        </w:r>
      </w:p>
    </w:sdtContent>
  </w:sdt>
  <w:p w14:paraId="4B4C2794" w14:textId="77777777" w:rsidR="003E5863" w:rsidRDefault="003E586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6F6A" w14:textId="77777777" w:rsidR="003E5863" w:rsidRDefault="003E58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B322" w14:textId="77777777" w:rsidR="00000000" w:rsidRDefault="001B0898">
      <w:pPr>
        <w:spacing w:after="0" w:line="240" w:lineRule="auto"/>
      </w:pPr>
      <w:r>
        <w:separator/>
      </w:r>
    </w:p>
  </w:footnote>
  <w:footnote w:type="continuationSeparator" w:id="0">
    <w:p w14:paraId="4E35AF07" w14:textId="77777777" w:rsidR="00000000" w:rsidRDefault="001B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4744" w14:textId="77777777" w:rsidR="003E5863" w:rsidRDefault="003E586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DCC0" w14:textId="77777777" w:rsidR="003E5863" w:rsidRDefault="003E5863">
    <w:pPr>
      <w:pBdr>
        <w:top w:val="nil"/>
        <w:left w:val="nil"/>
        <w:bottom w:val="nil"/>
        <w:right w:val="nil"/>
        <w:between w:val="nil"/>
      </w:pBdr>
      <w:tabs>
        <w:tab w:val="center" w:pos="4680"/>
        <w:tab w:val="right" w:pos="9360"/>
      </w:tabs>
      <w:spacing w:after="0" w:line="240" w:lineRule="auto"/>
      <w:rPr>
        <w:color w:val="000000"/>
      </w:rPr>
    </w:pPr>
  </w:p>
  <w:p w14:paraId="0CD7618E" w14:textId="77777777" w:rsidR="003E5863" w:rsidRDefault="003E586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F6C2" w14:textId="77777777" w:rsidR="003E5863" w:rsidRDefault="003E586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840EA"/>
    <w:multiLevelType w:val="multilevel"/>
    <w:tmpl w:val="0E6A6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778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63"/>
    <w:rsid w:val="000C0E66"/>
    <w:rsid w:val="001B0898"/>
    <w:rsid w:val="0022464B"/>
    <w:rsid w:val="002F5BAA"/>
    <w:rsid w:val="003C237C"/>
    <w:rsid w:val="003E5863"/>
    <w:rsid w:val="00EC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04795"/>
  <w15:docId w15:val="{CA82D5C1-C0B9-4B2B-BCA4-069CA23F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40443"/>
    <w:pPr>
      <w:spacing w:after="0" w:line="240" w:lineRule="auto"/>
    </w:pPr>
  </w:style>
  <w:style w:type="paragraph" w:styleId="Header">
    <w:name w:val="header"/>
    <w:basedOn w:val="Normal"/>
    <w:link w:val="HeaderChar"/>
    <w:uiPriority w:val="99"/>
    <w:unhideWhenUsed/>
    <w:rsid w:val="00BD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7D"/>
  </w:style>
  <w:style w:type="paragraph" w:styleId="Footer">
    <w:name w:val="footer"/>
    <w:basedOn w:val="Normal"/>
    <w:link w:val="FooterChar"/>
    <w:uiPriority w:val="99"/>
    <w:unhideWhenUsed/>
    <w:rsid w:val="00BD4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7D"/>
  </w:style>
  <w:style w:type="paragraph" w:styleId="ListParagraph">
    <w:name w:val="List Paragraph"/>
    <w:basedOn w:val="Normal"/>
    <w:uiPriority w:val="34"/>
    <w:qFormat/>
    <w:rsid w:val="00A22B73"/>
    <w:pPr>
      <w:ind w:left="720"/>
      <w:contextualSpacing/>
    </w:pPr>
  </w:style>
  <w:style w:type="character" w:styleId="CommentReference">
    <w:name w:val="annotation reference"/>
    <w:basedOn w:val="DefaultParagraphFont"/>
    <w:uiPriority w:val="99"/>
    <w:semiHidden/>
    <w:unhideWhenUsed/>
    <w:rsid w:val="000B4ECF"/>
    <w:rPr>
      <w:sz w:val="16"/>
      <w:szCs w:val="16"/>
    </w:rPr>
  </w:style>
  <w:style w:type="paragraph" w:styleId="CommentText">
    <w:name w:val="annotation text"/>
    <w:basedOn w:val="Normal"/>
    <w:link w:val="CommentTextChar"/>
    <w:uiPriority w:val="99"/>
    <w:semiHidden/>
    <w:unhideWhenUsed/>
    <w:rsid w:val="000B4ECF"/>
    <w:pPr>
      <w:spacing w:line="240" w:lineRule="auto"/>
    </w:pPr>
    <w:rPr>
      <w:sz w:val="20"/>
      <w:szCs w:val="20"/>
    </w:rPr>
  </w:style>
  <w:style w:type="character" w:customStyle="1" w:styleId="CommentTextChar">
    <w:name w:val="Comment Text Char"/>
    <w:basedOn w:val="DefaultParagraphFont"/>
    <w:link w:val="CommentText"/>
    <w:uiPriority w:val="99"/>
    <w:semiHidden/>
    <w:rsid w:val="000B4ECF"/>
    <w:rPr>
      <w:sz w:val="20"/>
      <w:szCs w:val="20"/>
    </w:rPr>
  </w:style>
  <w:style w:type="paragraph" w:styleId="CommentSubject">
    <w:name w:val="annotation subject"/>
    <w:basedOn w:val="CommentText"/>
    <w:next w:val="CommentText"/>
    <w:link w:val="CommentSubjectChar"/>
    <w:uiPriority w:val="99"/>
    <w:semiHidden/>
    <w:unhideWhenUsed/>
    <w:rsid w:val="000B4ECF"/>
    <w:rPr>
      <w:b/>
      <w:bCs/>
    </w:rPr>
  </w:style>
  <w:style w:type="character" w:customStyle="1" w:styleId="CommentSubjectChar">
    <w:name w:val="Comment Subject Char"/>
    <w:basedOn w:val="CommentTextChar"/>
    <w:link w:val="CommentSubject"/>
    <w:uiPriority w:val="99"/>
    <w:semiHidden/>
    <w:rsid w:val="000B4ECF"/>
    <w:rPr>
      <w:b/>
      <w:bCs/>
      <w:sz w:val="20"/>
      <w:szCs w:val="20"/>
    </w:rPr>
  </w:style>
  <w:style w:type="paragraph" w:styleId="Revision">
    <w:name w:val="Revision"/>
    <w:hidden/>
    <w:uiPriority w:val="99"/>
    <w:semiHidden/>
    <w:rsid w:val="00E969F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pefearcog.org/continuum-of-care/data/" TargetMode="External"/><Relationship Id="rId4" Type="http://schemas.openxmlformats.org/officeDocument/2006/relationships/settings" Target="settings.xml"/><Relationship Id="rId9" Type="http://schemas.openxmlformats.org/officeDocument/2006/relationships/hyperlink" Target="https://health.nhcgov.com/wp-content/uploads/2020/10/FINAL-NHC-2019-CH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WeniDqgiLPqvGlf01bsuYO7jA==">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 Peers</dc:creator>
  <cp:lastModifiedBy>Judith Herring</cp:lastModifiedBy>
  <cp:revision>5</cp:revision>
  <dcterms:created xsi:type="dcterms:W3CDTF">2022-02-10T16:20:00Z</dcterms:created>
  <dcterms:modified xsi:type="dcterms:W3CDTF">2022-05-10T16:25:00Z</dcterms:modified>
</cp:coreProperties>
</file>